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3D8" w:rsidRDefault="001813D8" w:rsidP="003B062D">
      <w:pPr>
        <w:spacing w:line="360" w:lineRule="auto"/>
        <w:jc w:val="center"/>
        <w:rPr>
          <w:rFonts w:asciiTheme="majorBidi" w:hAnsiTheme="majorBidi" w:cstheme="majorBidi"/>
          <w:bCs/>
          <w:color w:val="000000" w:themeColor="text1"/>
        </w:rPr>
      </w:pPr>
    </w:p>
    <w:p w:rsidR="001813D8" w:rsidRDefault="001813D8" w:rsidP="001813D8">
      <w:pPr>
        <w:spacing w:line="360" w:lineRule="auto"/>
        <w:jc w:val="center"/>
        <w:rPr>
          <w:rFonts w:asciiTheme="majorBidi" w:hAnsiTheme="majorBidi" w:cstheme="majorBidi"/>
          <w:bCs/>
          <w:color w:val="000000" w:themeColor="text1"/>
        </w:rPr>
      </w:pPr>
    </w:p>
    <w:p w:rsidR="001813D8" w:rsidRDefault="001813D8" w:rsidP="001813D8">
      <w:pPr>
        <w:spacing w:line="360" w:lineRule="auto"/>
        <w:jc w:val="center"/>
        <w:rPr>
          <w:rFonts w:asciiTheme="majorBidi" w:hAnsiTheme="majorBidi" w:cstheme="majorBidi"/>
          <w:bCs/>
          <w:color w:val="000000" w:themeColor="text1"/>
        </w:rPr>
      </w:pPr>
    </w:p>
    <w:p w:rsidR="001813D8" w:rsidRDefault="001813D8" w:rsidP="001813D8">
      <w:pPr>
        <w:spacing w:line="360" w:lineRule="auto"/>
        <w:jc w:val="center"/>
        <w:rPr>
          <w:rFonts w:asciiTheme="majorBidi" w:hAnsiTheme="majorBidi" w:cstheme="majorBidi"/>
          <w:bCs/>
          <w:color w:val="000000" w:themeColor="text1"/>
        </w:rPr>
      </w:pPr>
    </w:p>
    <w:p w:rsidR="001813D8" w:rsidRDefault="001813D8" w:rsidP="001813D8">
      <w:pPr>
        <w:spacing w:line="360" w:lineRule="auto"/>
        <w:jc w:val="center"/>
        <w:rPr>
          <w:rFonts w:asciiTheme="majorBidi" w:hAnsiTheme="majorBidi" w:cstheme="majorBidi"/>
          <w:bCs/>
          <w:color w:val="000000" w:themeColor="text1"/>
        </w:rPr>
      </w:pPr>
    </w:p>
    <w:p w:rsidR="001813D8" w:rsidRDefault="001813D8" w:rsidP="001813D8">
      <w:pPr>
        <w:spacing w:line="360" w:lineRule="auto"/>
        <w:jc w:val="center"/>
        <w:rPr>
          <w:rFonts w:asciiTheme="majorBidi" w:hAnsiTheme="majorBidi" w:cstheme="majorBidi"/>
          <w:bCs/>
          <w:color w:val="000000" w:themeColor="text1"/>
        </w:rPr>
      </w:pPr>
      <w:r w:rsidRPr="0091545D">
        <w:rPr>
          <w:rFonts w:asciiTheme="majorBidi" w:hAnsiTheme="majorBidi" w:cstheme="majorBidi"/>
          <w:bCs/>
          <w:color w:val="000000" w:themeColor="text1"/>
        </w:rPr>
        <w:t>Impact of Total Quality Management Practices on Customer Satisfaction case study at Makkah Water Company (SAFA)</w:t>
      </w:r>
    </w:p>
    <w:p w:rsidR="001813D8" w:rsidRDefault="001813D8" w:rsidP="001813D8">
      <w:pPr>
        <w:spacing w:line="360" w:lineRule="auto"/>
        <w:jc w:val="center"/>
        <w:rPr>
          <w:rFonts w:asciiTheme="majorBidi" w:hAnsiTheme="majorBidi" w:cstheme="majorBidi"/>
          <w:bCs/>
          <w:color w:val="000000" w:themeColor="text1"/>
        </w:rPr>
      </w:pPr>
      <w:r>
        <w:rPr>
          <w:rFonts w:asciiTheme="majorBidi" w:hAnsiTheme="majorBidi" w:cstheme="majorBidi"/>
          <w:bCs/>
          <w:color w:val="000000" w:themeColor="text1"/>
        </w:rPr>
        <w:t>Name</w:t>
      </w:r>
    </w:p>
    <w:p w:rsidR="001813D8" w:rsidRDefault="001813D8" w:rsidP="001813D8">
      <w:pPr>
        <w:spacing w:line="360" w:lineRule="auto"/>
        <w:jc w:val="center"/>
        <w:rPr>
          <w:rFonts w:asciiTheme="majorBidi" w:hAnsiTheme="majorBidi" w:cstheme="majorBidi"/>
          <w:bCs/>
          <w:color w:val="000000" w:themeColor="text1"/>
        </w:rPr>
      </w:pPr>
      <w:r>
        <w:rPr>
          <w:rFonts w:asciiTheme="majorBidi" w:hAnsiTheme="majorBidi" w:cstheme="majorBidi"/>
          <w:bCs/>
          <w:color w:val="000000" w:themeColor="text1"/>
        </w:rPr>
        <w:t>Institution</w:t>
      </w:r>
    </w:p>
    <w:p w:rsidR="001813D8" w:rsidRDefault="001813D8" w:rsidP="001813D8">
      <w:pPr>
        <w:spacing w:line="360" w:lineRule="auto"/>
        <w:jc w:val="center"/>
        <w:rPr>
          <w:rFonts w:asciiTheme="majorBidi" w:hAnsiTheme="majorBidi" w:cstheme="majorBidi"/>
          <w:bCs/>
          <w:color w:val="000000" w:themeColor="text1"/>
        </w:rPr>
      </w:pPr>
      <w:r>
        <w:rPr>
          <w:rFonts w:asciiTheme="majorBidi" w:hAnsiTheme="majorBidi" w:cstheme="majorBidi"/>
          <w:bCs/>
          <w:color w:val="000000" w:themeColor="text1"/>
        </w:rPr>
        <w:t>Date</w:t>
      </w:r>
    </w:p>
    <w:p w:rsidR="001813D8" w:rsidRDefault="001813D8">
      <w:pPr>
        <w:rPr>
          <w:rFonts w:asciiTheme="majorBidi" w:hAnsiTheme="majorBidi" w:cstheme="majorBidi"/>
          <w:bCs/>
          <w:color w:val="000000" w:themeColor="text1"/>
        </w:rPr>
      </w:pPr>
    </w:p>
    <w:p w:rsidR="001813D8" w:rsidRDefault="001813D8">
      <w:pPr>
        <w:rPr>
          <w:rFonts w:asciiTheme="majorBidi" w:hAnsiTheme="majorBidi" w:cstheme="majorBidi"/>
          <w:bCs/>
          <w:color w:val="000000" w:themeColor="text1"/>
        </w:rPr>
      </w:pPr>
      <w:r>
        <w:rPr>
          <w:rFonts w:asciiTheme="majorBidi" w:hAnsiTheme="majorBidi" w:cstheme="majorBidi"/>
          <w:bCs/>
          <w:color w:val="000000" w:themeColor="text1"/>
        </w:rPr>
        <w:br w:type="page"/>
      </w:r>
    </w:p>
    <w:p w:rsidR="003B062D" w:rsidRDefault="003B062D" w:rsidP="003B062D">
      <w:pPr>
        <w:spacing w:line="360" w:lineRule="auto"/>
        <w:jc w:val="center"/>
        <w:rPr>
          <w:rFonts w:asciiTheme="majorBidi" w:hAnsiTheme="majorBidi" w:cstheme="majorBidi"/>
          <w:bCs/>
          <w:color w:val="000000" w:themeColor="text1"/>
        </w:rPr>
      </w:pPr>
      <w:r w:rsidRPr="0091545D">
        <w:rPr>
          <w:rFonts w:asciiTheme="majorBidi" w:hAnsiTheme="majorBidi" w:cstheme="majorBidi"/>
          <w:bCs/>
          <w:color w:val="000000" w:themeColor="text1"/>
        </w:rPr>
        <w:lastRenderedPageBreak/>
        <w:t>Impact of Total Quality Management Practices on Customer Satisfaction case study at Makkah Water Company (SAFA)</w:t>
      </w:r>
    </w:p>
    <w:p w:rsidR="003B062D" w:rsidRDefault="003B062D" w:rsidP="003B062D">
      <w:pPr>
        <w:spacing w:line="480" w:lineRule="auto"/>
        <w:ind w:firstLine="720"/>
        <w:rPr>
          <w:rFonts w:ascii="Times New Roman" w:hAnsi="Times New Roman" w:cs="Times New Roman"/>
          <w:b/>
          <w:sz w:val="24"/>
          <w:szCs w:val="24"/>
        </w:rPr>
      </w:pPr>
    </w:p>
    <w:p w:rsidR="003B062D" w:rsidRPr="003B062D" w:rsidRDefault="003B062D" w:rsidP="003B062D">
      <w:pPr>
        <w:spacing w:line="480" w:lineRule="auto"/>
        <w:ind w:firstLine="720"/>
        <w:jc w:val="center"/>
        <w:rPr>
          <w:rFonts w:ascii="Times New Roman" w:hAnsi="Times New Roman" w:cs="Times New Roman"/>
          <w:b/>
          <w:sz w:val="24"/>
          <w:szCs w:val="24"/>
        </w:rPr>
      </w:pPr>
      <w:r w:rsidRPr="003B062D">
        <w:rPr>
          <w:rFonts w:ascii="Times New Roman" w:hAnsi="Times New Roman" w:cs="Times New Roman"/>
          <w:b/>
          <w:sz w:val="24"/>
          <w:szCs w:val="24"/>
        </w:rPr>
        <w:t>Literature Review</w:t>
      </w:r>
      <w:bookmarkStart w:id="0" w:name="_GoBack"/>
      <w:bookmarkEnd w:id="0"/>
    </w:p>
    <w:p w:rsidR="003B062D" w:rsidRPr="003B062D" w:rsidRDefault="003B062D" w:rsidP="003B062D">
      <w:pPr>
        <w:spacing w:line="480" w:lineRule="auto"/>
        <w:rPr>
          <w:rFonts w:ascii="Times New Roman" w:hAnsi="Times New Roman" w:cs="Times New Roman"/>
          <w:b/>
          <w:sz w:val="24"/>
          <w:szCs w:val="24"/>
        </w:rPr>
      </w:pPr>
      <w:r w:rsidRPr="003B062D">
        <w:rPr>
          <w:rFonts w:ascii="Times New Roman" w:hAnsi="Times New Roman" w:cs="Times New Roman"/>
          <w:b/>
          <w:sz w:val="24"/>
          <w:szCs w:val="24"/>
        </w:rPr>
        <w:t>Consumer satisfaction</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Consumer satisfaction refers to the performance of a company's products or services in relation to the perceived expectation of a consumer. It is, therefore, the number of consumers or the proportion of total consumers whose experience with an organization, its products and/or its services exceeds specific consumer satisfaction targets. Measuring consumer satisfaction levels have primarily been identified as a handy tool in managing and monitoring any business operation (Lee et al., 2016). After making the purchase decision, consumer satisfaction is the critical determinant of the likelihood of a consumer purchasing in the future. According to Javed&amp; Cheema (2017), a satisfied consumer will quickly become a repeat consumer and an advocate, if enthusiastic about the company, its products or services. It is therefore vital to ensure consumers' expectations are met to build consumer loyalty.</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Researchers categorize satisfaction as either effective or cognitive state. Satisfaction is cognitive when consumer tends to evaluate service performance by using calculative attributes like the benefit they have received and how many sacrifices they have paid. If consumers perceive to have gained more than they paid, they will be satisfied. On the other hand, satisfaction is defined as an effective state because product or service performance includes consumer emotions and feelings. According to Javed&amp; Cheema (2017), effective state thought, consumer satisfaction is influenced by many factors other than the benefit and sacrifice paid. </w:t>
      </w:r>
      <w:r w:rsidRPr="003B062D">
        <w:rPr>
          <w:rFonts w:ascii="Times New Roman" w:hAnsi="Times New Roman" w:cs="Times New Roman"/>
          <w:sz w:val="24"/>
          <w:szCs w:val="24"/>
        </w:rPr>
        <w:lastRenderedPageBreak/>
        <w:t>Qualitative aspects such as the relationship with the service provider, atmosphere of the shop or facility, after-sale services and timely response to queries and complaints play a significant role in attaining consumer satisfaction.</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Satisfaction levels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There are four levels in attaining optimal consumer satisfaction. These levels do not have distinct boundaries separating one level and the other, however, they follow a hierarchical order hence the lowest level of satisfaction must be attained before moving to a higher one. To achieve maximum consumer loyalty and success, organizations should aim at achieving the highest level possible.</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The first and basic level of consumer satisfaction is to meet consumer expectations. At this level, organizations provide accurate or right products and services with the primary ingredient and meet minimum consumer expectations. This ensures consumers are satisfied for the time being and complains are very low (Popp &amp;Woratschek, 2017). Nevertheless, consumers are not loyal, and if product or services fail to meet minimum satisfaction, they can quickly turn to competitors.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second level involves exceeding consumer expectations. According to Javed&amp; Cheema (2017), giving more than merely what the consumer expects goes a long way to achieving consumer satisfaction. Improving infrastructural technology and applications contribute to right, quick and prompt services and creates a competitive advantage to peers. Consumers rate speed and efficiency in product and service provision as vital attributes towards satisfaction. By exceeding consumer expectation, the organization moves from survival to building consumer trust and loyalty (Popp &amp;Woratschek, 2017). No matters how loyal your </w:t>
      </w:r>
      <w:r w:rsidRPr="003B062D">
        <w:rPr>
          <w:rFonts w:ascii="Times New Roman" w:hAnsi="Times New Roman" w:cs="Times New Roman"/>
          <w:sz w:val="24"/>
          <w:szCs w:val="24"/>
        </w:rPr>
        <w:lastRenderedPageBreak/>
        <w:t>consumers are, they will run away if product or service fails to impress them or you don't possess the latest technology infrastructure.</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Thirdly, organizations should strive to partner client goals and objectives. This level is of great importance because products and services are designed (customized) to meet specific consumer requirements (Kasiri et al., 2017). It becomes difficult for competitors to prey away consumers when they receive products made to suit their needs. Beyond the provision of product and service, firms genuinely care hence listen and understand their consumers well and establish a two-way relationship.</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The last level of consumer satisfaction involves establishing a personal bond with consumers. Winning over consumers at an individual level requires you to identify key clients and create some individual wins for them, for instance, special discounts, anniversary gifts, best wishes in major undertakings like projects and achievements (Oh &amp; Kim, 2017). The above is also attained by advising and educating consumers beyond the mere product or service delivery. Educating consumers improves satisfaction, builds loyalty and increases chances of retaining consumers.</w:t>
      </w:r>
    </w:p>
    <w:p w:rsidR="003B062D" w:rsidRPr="003B062D" w:rsidRDefault="003B062D" w:rsidP="003B062D">
      <w:pPr>
        <w:spacing w:before="240" w:after="0" w:line="480" w:lineRule="auto"/>
        <w:ind w:firstLine="720"/>
        <w:jc w:val="both"/>
        <w:rPr>
          <w:rFonts w:ascii="Times New Roman" w:hAnsi="Times New Roman" w:cs="Times New Roman"/>
          <w:sz w:val="24"/>
          <w:szCs w:val="24"/>
        </w:rPr>
      </w:pPr>
      <w:r w:rsidRPr="003B062D">
        <w:rPr>
          <w:rFonts w:ascii="Times New Roman" w:eastAsia="Times New Roman" w:hAnsi="Times New Roman" w:cs="Times New Roman"/>
          <w:noProof/>
          <w:sz w:val="24"/>
          <w:szCs w:val="24"/>
        </w:rPr>
        <w:lastRenderedPageBreak/>
        <w:drawing>
          <wp:inline distT="0" distB="0" distL="0" distR="0">
            <wp:extent cx="5486400" cy="3457575"/>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3B062D" w:rsidRPr="003B062D" w:rsidRDefault="003B062D" w:rsidP="003B062D">
      <w:pPr>
        <w:pStyle w:val="Caption"/>
        <w:spacing w:before="240" w:after="0" w:line="480" w:lineRule="auto"/>
        <w:ind w:firstLine="720"/>
        <w:jc w:val="both"/>
        <w:rPr>
          <w:rFonts w:ascii="Times New Roman" w:hAnsi="Times New Roman" w:cs="Times New Roman"/>
          <w:b w:val="0"/>
          <w:color w:val="auto"/>
          <w:sz w:val="24"/>
          <w:szCs w:val="24"/>
        </w:rPr>
      </w:pPr>
      <w:r w:rsidRPr="003B062D">
        <w:rPr>
          <w:rFonts w:ascii="Times New Roman" w:hAnsi="Times New Roman" w:cs="Times New Roman"/>
          <w:b w:val="0"/>
          <w:color w:val="auto"/>
          <w:sz w:val="24"/>
          <w:szCs w:val="24"/>
        </w:rPr>
        <w:t>Figure1: Hierarchy of consumer satisfaction</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Understanding and </w:t>
      </w:r>
      <w:r w:rsidR="0021779E" w:rsidRPr="003B062D">
        <w:rPr>
          <w:rFonts w:ascii="Times New Roman" w:hAnsi="Times New Roman" w:cs="Times New Roman"/>
          <w:sz w:val="24"/>
          <w:szCs w:val="24"/>
        </w:rPr>
        <w:t>practicing</w:t>
      </w:r>
      <w:r w:rsidRPr="003B062D">
        <w:rPr>
          <w:rFonts w:ascii="Times New Roman" w:hAnsi="Times New Roman" w:cs="Times New Roman"/>
          <w:sz w:val="24"/>
          <w:szCs w:val="24"/>
        </w:rPr>
        <w:t xml:space="preserve"> these four levels of consumer satisfaction in any organization will help in establishing a long term successful relationship with consumers.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Role of Satisfaction on Consumer decision – making process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Making consumer satisfaction the core value of business creates a competitive advantage in the marketplace. As service providers compete for consumers, consumer satisfaction becomes the key differentiator and therefore determines who succeeds in these cut-throat environments. By offering great consumer experiences, service providers create an environment where satisfaction is high, and consumer references are in plenty, hence the key to attracting new consumers (Oh &amp; Kim, 2017). Researches have revealed that price is not the main reason why consumers run away but because of the overall poor quality of the product or consumer service. Great measures need to be undertaken in tracking consumer satisfaction to ensure consumer </w:t>
      </w:r>
      <w:r w:rsidRPr="003B062D">
        <w:rPr>
          <w:rFonts w:ascii="Times New Roman" w:hAnsi="Times New Roman" w:cs="Times New Roman"/>
          <w:sz w:val="24"/>
          <w:szCs w:val="24"/>
        </w:rPr>
        <w:lastRenderedPageBreak/>
        <w:t>expectations are met and therefore reduce the rate of consumer turnover. As noted in Javed&amp; Cheema (2017), a consumer is always willing to spend more if he or she expects a superior quality of service. By ensuring such consumer expectations are met and adding a premium on the prices, a satisfied consumer will willingly pay more hence improve the revenue and profitability of the company. Therefore, satisfying consumers' expectations play a significant role in how much revenue they contribute to organizations.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difference between the time a consumer is ready to receive a product or service and the time he or she receives it refers to the waiting time. To most consumers, waiting time is boring and annoying and leads to a negative overall service evaluation as noted by Kasiri et al., (2017). The actions of the service providers may play a significant role in altering consumer perceptions while queuing as revealed by Oh &amp; Kim, (2017). Apologizing to consumers for waiting to compensate them, depending on the situation, as well as the perceived utility or benefit expected may increase consumer's willingness to wait for the service or product. Therefore, if consumers expect a higher value after consuming a product or service, they are more likely to wait than when the perceived value is low (Kasiri et al., 2017). On the same note, if there are no alternatives for the product or service, consumers will be compelled to wait. Therefore service providers need to keep waiting time as short and comfortable as possible to create a desirable consumer experience and improve future purchase decision.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Failures and mistakes cannot be eliminated in the process of providing products and services to consumers. Such do not necessarily lead to consumer dissatisfaction as some consumers understand that errors sometimes occur, however, dissatisfaction may be caused by the response from the service provider or failure. Studies show that efforts by managers in addressing complaints provoke a more negative reaction by consumers towards the product or </w:t>
      </w:r>
      <w:r w:rsidRPr="003B062D">
        <w:rPr>
          <w:rFonts w:ascii="Times New Roman" w:hAnsi="Times New Roman" w:cs="Times New Roman"/>
          <w:sz w:val="24"/>
          <w:szCs w:val="24"/>
        </w:rPr>
        <w:lastRenderedPageBreak/>
        <w:t xml:space="preserve">service failure (Popp &amp;Woratschek, 2017). Consumers may perceive satisfaction to be equal to or higher than before a service or product failure occurred as a result of proper complaint handling by management.  Management is responsible for providing either social or economic resources to compensate for loses caused to consumers as a result of product or service failure. </w:t>
      </w:r>
    </w:p>
    <w:p w:rsidR="003B062D" w:rsidRPr="003B062D" w:rsidRDefault="003B062D" w:rsidP="003B062D">
      <w:pPr>
        <w:spacing w:line="480" w:lineRule="auto"/>
        <w:rPr>
          <w:rFonts w:ascii="Times New Roman" w:hAnsi="Times New Roman" w:cs="Times New Roman"/>
          <w:b/>
          <w:sz w:val="24"/>
          <w:szCs w:val="24"/>
        </w:rPr>
      </w:pPr>
      <w:r w:rsidRPr="003B062D">
        <w:rPr>
          <w:rFonts w:ascii="Times New Roman" w:hAnsi="Times New Roman" w:cs="Times New Roman"/>
          <w:b/>
          <w:sz w:val="24"/>
          <w:szCs w:val="24"/>
        </w:rPr>
        <w:t xml:space="preserve">Continuous improvement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As noted in a study by Castka et al., (2015), the essence of TQM implementation is the creation of a system for quality management that encompasses the structures, processes, procedures and responsibilities of the organization. ISO 9000 International standard is the most commonly referred quality management system and advocates for organizations to establish a well-documented and standard quality management system (Slack &amp; Brandon-Jones, 2018). Continuous improvement is a cycle of processes that include a diagnostic stage, planning stage, implementation stage and evaluation stage. According to the improvement cycle, the ISO9001 standards are applied at the implementation stage.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ISO 9000 quality management system also calls for the development of procedures that ensure the diagnostic and evaluation stages of quality improvement are handled in a standardized manner across organizations (Castka et al., 2015). However, the standards do not recommend or prescribe a specific quality control technique for organizations to adopt. ISO 9000 is a generic standard and does not define quality or process or product specifications nor does it inspector assure organizations of their continued conformity with the set ISO 9000 quality standards. </w:t>
      </w:r>
    </w:p>
    <w:p w:rsidR="003B062D" w:rsidRPr="003B062D" w:rsidRDefault="003B062D" w:rsidP="003B062D">
      <w:pPr>
        <w:spacing w:line="480" w:lineRule="auto"/>
        <w:ind w:firstLine="720"/>
        <w:rPr>
          <w:rFonts w:ascii="Times New Roman" w:hAnsi="Times New Roman" w:cs="Times New Roman"/>
          <w:sz w:val="24"/>
          <w:szCs w:val="24"/>
        </w:rPr>
      </w:pP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lastRenderedPageBreak/>
        <w:t xml:space="preserve">The essence of Total Quality Management (TQM) in any organization is to ensure the provision of quality products and services using training, tools and techniques that ensure constant customer satisfaction. TQM is committed to ensuring continuous improvement of the production processes that consequently result in quality service and products (Gureva et al., 2016). The primary goal of TQM application is for organizations to perform production processes right from the first time and every other time.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Improving quality cannot happen without a significant loss of productivity. It is also critical that organization management provides leadership and show complete support for quality improvement initiatives. According to a study by Gureva et al., (2016), quality targets keep changing from time to time hence can be termed as moving targets that require continuous adoption of flexible metrics. There are three critical aspects regarding TQM; i.e. customer, culture and counting. Customer's impression of the organization and its products starts from the initial contact with an organization and is carried throughout the product life. In order to achieve a lasting customer impression, it is important for every department in an organization to always work towards improving the quality of operations.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Another study by Van Der Aalst et al., (2016), suggests that the objective of TQM is to ensure continuous improvement in terms of customer focus, total involvement and process improvement. According to the authors to effect any meaningful quality improvements in an organization it requires constantly evaluating and addressing emerging needs in leadership, support structure, education and training, rewards and recognition, communication and measurement metrics. The study also reveals that the successful implementation of TQM continuous improvement principles larges depends on the management's ability to plan and take actions that focus on achieving high-quality standards across all divisions of an organization. </w:t>
      </w:r>
      <w:r w:rsidRPr="003B062D">
        <w:rPr>
          <w:rFonts w:ascii="Times New Roman" w:hAnsi="Times New Roman" w:cs="Times New Roman"/>
          <w:sz w:val="24"/>
          <w:szCs w:val="24"/>
        </w:rPr>
        <w:lastRenderedPageBreak/>
        <w:t>These critical success factors are fundamental in TQM because once they fail; the production process is subsequently terminated.</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Quality performance evaluation requires tom management to own the responsibility regarding quality performance, department heads to accept responsibility for department performance, considering quality as the organization's first priority and comprehensively discussing organization's quality components and quality plans frequently during meetings (Rahimi, Møller,&amp;Hvam, 2016). The success of TQM  depends on the ability of everyone to show quality in efforts since the overall performance of the organization is a reflection of the quality of the organization's inputs.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According to Rahimi, Møller,&amp;Hvam (2016) and Ambroggio, et al., (2017), generally, TQM is concerned with quality improvement in all tasks of the production process whether from a high level of decision making and strategic planning or the thorough execution of the production tasks in the production chambers. Continuous improvement ideally stems from believing that mistakes are avoidable, and product/service defects can be prevented. Having the deep belief in TQM automatically results in the urge to improve overall organization performance, continuously enhance the growth of capabilities in people, technology, processes and machines. As noted by Ambroggio et al., (2017), continuous improvement requires dealing with improving the organization results as well as enhancing the capabilities to ensure sustainable and better products in the future. The five vital areas to focus on sustained improvement capability include supply generation, demand generation, technology, operation, and people capability.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lastRenderedPageBreak/>
        <w:t xml:space="preserve">According to a study by Slack &amp; Brandon-Jones, (2018), the central principle of TQM in continuous improvement is that people commit mistakes but at the same time majority are facilitated by faulty processes and systems. Hence this implies that the reasons behind such mistakes can be traced and eliminated while re-occurrence can be avoided by a complete change of the production process. According to TQM, there are three mechanisms or tools of preventing production mistakes: (1) Completely preventing mistakes from happening (Poka-Yoke), (2) Detecting mistakes / defects promptly where they can't be avoided before they proceed to the next value addition line and (3) In the event of re-occurrence, stop production until the issue is successfully corrected.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According to a research by Slack &amp; Brandon-Jones, (2018), production managers ought to be able to consistently monitor and analyze quality control activities to familiarize with general product or service trends and allow prompt detection of anomalies for corrective action. A realistic corrective measure needs to be established by the project team in addressing the problem. Sometimes the corrective action may cost more the corrective benefits; in this case, managers should consider alternative measures which may include taking no action at all (Slack &amp; Brandon-Jones, 2018). The intention to improve focuses on one or more of the following activities; cutting on the process cost, enhancing process quality and improving efficiency by reducing process time. The choice depends on the organizational priorities that involved from examining the current process and identifying where optimal gain could be achieved.       </w:t>
      </w:r>
    </w:p>
    <w:p w:rsidR="003B062D" w:rsidRPr="003B062D" w:rsidRDefault="003B062D" w:rsidP="003B062D">
      <w:pPr>
        <w:spacing w:line="480" w:lineRule="auto"/>
        <w:rPr>
          <w:rFonts w:ascii="Times New Roman" w:hAnsi="Times New Roman" w:cs="Times New Roman"/>
          <w:b/>
          <w:sz w:val="24"/>
          <w:szCs w:val="24"/>
        </w:rPr>
      </w:pPr>
      <w:r w:rsidRPr="003B062D">
        <w:rPr>
          <w:rFonts w:ascii="Times New Roman" w:hAnsi="Times New Roman" w:cs="Times New Roman"/>
          <w:b/>
          <w:sz w:val="24"/>
          <w:szCs w:val="24"/>
        </w:rPr>
        <w:t>Information Technology</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A study by Arab &amp; Feng (2015) shows that in the early 1980s, Hewlett Packard made criticizing remarks on chips manufacturing in the United States due to their inferior quality </w:t>
      </w:r>
      <w:r w:rsidRPr="003B062D">
        <w:rPr>
          <w:rFonts w:ascii="Times New Roman" w:hAnsi="Times New Roman" w:cs="Times New Roman"/>
          <w:sz w:val="24"/>
          <w:szCs w:val="24"/>
        </w:rPr>
        <w:lastRenderedPageBreak/>
        <w:t xml:space="preserve">compared to the Japanese counterparts. Ironically, the Japanese had adopted Edward Deming TQM principles, whereas the US counterparts had dismissed the philosophy. It is evident that achieving high-quality products and services leads to improved productivity by reducing reworks, wastes and reworks (Arab &amp; Feng,2015). TQM is fundamental in reducing production costs, minimizing customer complaints and increasing market share.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According to Edward Deming, TQM is a philosophy in management that applies specific sets of principles, techniques and practices to expand profits by improving productivity, reducing costs, reworks, wastes and customer complaints. Basically, TQM is composed of three essential terms; Total signifies the involvement of every business stakeholder. Quality refers to meeting the exact needs of customers and Management implies that the top-level organization leadership is highly involved in the process. TQM, therefore, refer to a culture of defining and supporting the attainment of customer satisfaction through the integrated system of techniques, tools and training.</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findings of a study by Sarancha et al. (2016), indicate that information technology has been widely adopted in most organizations for Total Quality Management. Consequently, a lot of researches have been conducted on the same to establish its impact on service or product quality. Competition adds a lot of pressure for organizations to evolve and improve product or service quality for sustainable business success. Information technology is an enabling mechanism for business growth and job enrichment and satisfaction. Total Quality Management (TQM) is a customer centric philosophy of management that aims to enhance the delivery of quality services and products (Sarancha et al., 2016). TQM techniques, practices and principles are applicable across all organizational functions such as information technology, finance, marketing, human resource management, research and development and operations. The impacts </w:t>
      </w:r>
      <w:r w:rsidRPr="003B062D">
        <w:rPr>
          <w:rFonts w:ascii="Times New Roman" w:hAnsi="Times New Roman" w:cs="Times New Roman"/>
          <w:sz w:val="24"/>
          <w:szCs w:val="24"/>
        </w:rPr>
        <w:lastRenderedPageBreak/>
        <w:t xml:space="preserve">of information technology on business quality improvement have been heavily studied, and results reported.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analysis of TQM and IT influence shows that the volume of publications is on the increase. A study by Rahimi, Møller,&amp;Hvam (2016), was conducted to establish the level of integration between TQM and Information Technology using a descriptive model and a case study showed that there is a seemingly high level of integration to date. The goal of TQM on information systems is to ensure the quality of information. It involves identification, verification and maintenance of software integrity by using appropriate methodologies. It consists of procedures that entail checks and controls in the process of developing the information systems. Information is vital in any organization hence ensuring the quality of information is paramount. Today almost all organizations use computer systems for running day-to-day business operations, decision making and creating strategic advantages. Previous researches on the influence of information systems on quality management have predominantly relied on tools and techniques for assurances on software quality. Due to the increased demand for information in organizational decision making, the information systems functions plays a critical role in influencing the quality of goods and services provided.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Another research by Khanam, S., Siddiqui, J., &amp;Talib, F. (2016) aimed to establish the role played by Information technology in quality management using literature review and questionnaire survey. The study applied the SPSS and people feedback tools for data analysis. From the findings, the application of information technology reduces wastage because of the application of TQM principles in production and expenditure. By maintaining efficient analysis and measurement of the activities performed by Information Technology systems, simplification and standardization of processes limit product or service variability (Rahimi et al., 2016). The </w:t>
      </w:r>
      <w:r w:rsidRPr="003B062D">
        <w:rPr>
          <w:rFonts w:ascii="Times New Roman" w:hAnsi="Times New Roman" w:cs="Times New Roman"/>
          <w:sz w:val="24"/>
          <w:szCs w:val="24"/>
        </w:rPr>
        <w:lastRenderedPageBreak/>
        <w:t xml:space="preserve">study further concludes that top management initiatives can enable an innovative culture that abandons stereotypes on how to perform particular tasks within a shorter period and at a lower cost. Not only has IT reshaped the workplace but has also fundamentally altered overall organizations and established new demands upon organizations.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TQM addresses the importance of information systems development. As well it ensures the systems are flexible, free of bugs and adaptable to the dynamic economic conditions. A research study by Huang et al. (2017) involved a qualitative comparative analysis elaborates the application of TQM philosophy in the light of Information Technology on the performance of an organization. The authors note that Information Technology has been critical in strengthening customer relationships in various ways. For instance, product recognition, barcoding and electronic point of sale have been widely used in the retail sector, tremendously increasing the speed and accuracy of transactions. IT has improved globalization by allowing organizations to connect to customers at geographically remote areas, especially providing support to SMEs. Improvements in IT have highly facilitated product and service customization. The integration of internet has been vital in improving the capacity of the hardware systems. Many organization apply IT, especially social media in marketing and the majority consider IT as complementary to existing infrastructure but does not a complete substitute for the status quo.        </w:t>
      </w:r>
    </w:p>
    <w:p w:rsidR="003B062D" w:rsidRPr="003B062D" w:rsidRDefault="003B062D" w:rsidP="003B062D">
      <w:pPr>
        <w:spacing w:line="480" w:lineRule="auto"/>
        <w:jc w:val="both"/>
        <w:rPr>
          <w:rFonts w:ascii="Times New Roman" w:hAnsi="Times New Roman" w:cs="Times New Roman"/>
          <w:b/>
          <w:sz w:val="24"/>
          <w:szCs w:val="24"/>
        </w:rPr>
      </w:pPr>
      <w:r w:rsidRPr="003B062D">
        <w:rPr>
          <w:rFonts w:ascii="Times New Roman" w:hAnsi="Times New Roman" w:cs="Times New Roman"/>
          <w:b/>
          <w:sz w:val="24"/>
          <w:szCs w:val="24"/>
        </w:rPr>
        <w:t xml:space="preserve">Management of process quality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Process quality management is all about change; change to get better through continuous learning to achieve process excellence. To achieve sustainable success, an organization needs to establish a learning culture and consistently re-invent new ways of doing business by challenging the status quo.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lastRenderedPageBreak/>
        <w:t xml:space="preserve">According to Arab, A., &amp; Feng, Q. (2015), the contentious improvement process can better be explained by the scientific model embedded in the cycle of Plan, Do, Check, Act (PDCA). According to this model, organizations should start by first establishing quality goals then establish concrete plans on how to achieve the goals. Consequently, the plan should be acted upon and results closely observed. The results from the prescribed actions are studied deeply, and any deviations are modified on the plans and the cycle starts once again. There is a good range of improvement models though the majority of studies consider PDCA is the most effective model of managing quality improvement.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It is quite imperative to understand what an organization is aiming to achieve and how to tell when the results are achieved in the quality improvement process Arab, A., &amp; Feng, Q. (2015). Shown below is a practical model established by Process Management International.</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noProof/>
          <w:color w:val="000000" w:themeColor="text1"/>
          <w:sz w:val="24"/>
          <w:szCs w:val="24"/>
        </w:rPr>
        <w:drawing>
          <wp:inline distT="0" distB="0" distL="0" distR="0">
            <wp:extent cx="5676900" cy="2984500"/>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11-1024x482.jpg"/>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76900" cy="2984500"/>
                    </a:xfrm>
                    <a:prstGeom prst="rect">
                      <a:avLst/>
                    </a:prstGeom>
                  </pic:spPr>
                </pic:pic>
              </a:graphicData>
            </a:graphic>
          </wp:inline>
        </w:drawing>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Figure 1: The Plan, Do, Check, Act cycle</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lastRenderedPageBreak/>
        <w:t xml:space="preserve">The PDCA model offers guidance and definition the necessary actions, allows learning which implementing and also promotes a review of the action results leading to not only understanding the improvement goals but also recognizing the improvement process Arab, A., &amp; Feng, Q. (2015). Through the process, it becomes clear that change is necessary to effect any improvement but remember not all changes lead to improvement.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A study by Fretheim&amp;Tomic (2015), consider the Six Sigma model of Define, Measure, Analyze, Improve, and Control (DMAIC) as the most popular nowadays. However, it is actually a derivative of PDCA.</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intention to improve focuses on one or more of the following activities; cutting on the process cost, enhancing process quality and improving efficiency by reducing process time. The choice depends on the organizational priorities that involved from examining the current process and identifying where optimal gain could be achieved.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There are two essential approaches in the quality improvement process, namely the Kaizen and the step-change improvement approaches. Kaizen typically favours the application of large scale of small projects to deliver aggregated significant improvements. According to Nallusamy (2016), this approach is common in Japanese organizations and requires a cultural change in an attempt to pursue improvement. Its merits are evident in establishing and maintaining a large scale organizational momentum and creating a changed behavior that encourages quality improvements.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On the other hand, a step-change approach is modern and considered a more Western approach to quality improvement. It is closely associated with the Six Sigma approach; hence, it requires a more radical rethink of the organization processes (Nallusamy, 2016). It mainly </w:t>
      </w:r>
      <w:r w:rsidRPr="003B062D">
        <w:rPr>
          <w:rFonts w:ascii="Times New Roman" w:hAnsi="Times New Roman" w:cs="Times New Roman"/>
          <w:sz w:val="24"/>
          <w:szCs w:val="24"/>
        </w:rPr>
        <w:lastRenderedPageBreak/>
        <w:t xml:space="preserve">focuses in the broader organization processes instead that the local focus of the Kaizen approach meaning the improvement result is more prominent and cutting across the organization. Its general organizational approach, however, translates to a higher level of risk. The improvement ideas are mainly from external experts leading to lack of local ownership which sometimes result in failed improvement plans. It is suggested that the planned improvement changes seemingly fail to hold when the team of experts depart the project.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Integrating step change and Kaizen approaches indicate significant gains that can be maintained and built upon to establish sustained success (Antipov&amp;Ushanova (2017). Systematic implementation of the two strategies would mean much involvement by local organization's staff is considered by researchers to show significant performance improvements.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Waste ad variation in improvement represents differing focuses. Waste improvement refers to the process of improving process flow, the reduction of non-value activities or cutting down on time needed to perform a task. </w:t>
      </w:r>
      <w:r w:rsidR="0021779E" w:rsidRPr="003B062D">
        <w:rPr>
          <w:rFonts w:ascii="Times New Roman" w:hAnsi="Times New Roman" w:cs="Times New Roman"/>
          <w:sz w:val="24"/>
          <w:szCs w:val="24"/>
        </w:rPr>
        <w:t>Variations, on the other hand, seek</w:t>
      </w:r>
      <w:r w:rsidRPr="003B062D">
        <w:rPr>
          <w:rFonts w:ascii="Times New Roman" w:hAnsi="Times New Roman" w:cs="Times New Roman"/>
          <w:sz w:val="24"/>
          <w:szCs w:val="24"/>
        </w:rPr>
        <w:t xml:space="preserve"> to enhance product and process consistency.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In maintain quality control over production, it is important to ensure constant monitoring of production trend to identify any mistakes or defects that may arise. When mistakes arise due to process fault, the production team needs to establish the root cause and develop suitable corrective action (Antipov&amp;Ushanova, 2017). Sometimes corrective action any include doing nothing especially of the cost of the corrective action outweighs the benefits of fixing the fault. Where faults are identified by an external quality assurance specialist, then it is important for the external specialist to work with the management and project team to establish a workable solution to the problem.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lastRenderedPageBreak/>
        <w:t xml:space="preserve"> Among the corrective actions identified by Kowalik</w:t>
      </w:r>
      <w:r w:rsidR="0021779E">
        <w:rPr>
          <w:rFonts w:ascii="Times New Roman" w:hAnsi="Times New Roman" w:cs="Times New Roman"/>
          <w:sz w:val="24"/>
          <w:szCs w:val="24"/>
        </w:rPr>
        <w:t xml:space="preserve"> </w:t>
      </w:r>
      <w:r w:rsidRPr="003B062D">
        <w:rPr>
          <w:rFonts w:ascii="Times New Roman" w:hAnsi="Times New Roman" w:cs="Times New Roman"/>
          <w:sz w:val="24"/>
          <w:szCs w:val="24"/>
        </w:rPr>
        <w:t>&amp;</w:t>
      </w:r>
      <w:r w:rsidR="0021779E">
        <w:rPr>
          <w:rFonts w:ascii="Times New Roman" w:hAnsi="Times New Roman" w:cs="Times New Roman"/>
          <w:sz w:val="24"/>
          <w:szCs w:val="24"/>
        </w:rPr>
        <w:t xml:space="preserve"> </w:t>
      </w:r>
      <w:r w:rsidRPr="003B062D">
        <w:rPr>
          <w:rFonts w:ascii="Times New Roman" w:hAnsi="Times New Roman" w:cs="Times New Roman"/>
          <w:sz w:val="24"/>
          <w:szCs w:val="24"/>
        </w:rPr>
        <w:t xml:space="preserve">Klimecka-Tatar, (2018) include reworking on the deliverable, altering the standards or methods, structural refinement, or changing the business strategic plan/ quality assurance framework. The author further notes that the effectiveness of a corrective action will largely depend on the quality control activities set in place by the organization. Ensuring proper documentation of process trends is also critical in detecting mistakes or defects promptly. Maintaining process records is one way of demonstrating an effectively functioning quality control management system. The study shows that maintaining regular reports that include the summary of corrective interventions performed is critical in addressing emerging incidences in quality control. The reports should as well indicate the effectiveness of the corrective action administered and the probability of the problem reoccurring.          </w:t>
      </w:r>
    </w:p>
    <w:p w:rsidR="003B062D" w:rsidRPr="003B062D" w:rsidRDefault="003B062D" w:rsidP="003B062D">
      <w:pPr>
        <w:spacing w:line="480" w:lineRule="auto"/>
        <w:rPr>
          <w:rFonts w:ascii="Times New Roman" w:hAnsi="Times New Roman" w:cs="Times New Roman"/>
          <w:b/>
          <w:sz w:val="24"/>
          <w:szCs w:val="24"/>
        </w:rPr>
      </w:pPr>
      <w:r w:rsidRPr="003B062D">
        <w:rPr>
          <w:rFonts w:ascii="Times New Roman" w:hAnsi="Times New Roman" w:cs="Times New Roman"/>
          <w:b/>
          <w:sz w:val="24"/>
          <w:szCs w:val="24"/>
        </w:rPr>
        <w:t>Quality reporting and benchmarking</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Quality reliability is the ability to achieve quality consistently. Sustaining product quality requires highly reliable production process and systems which are the primary components in the quality control process. While attempting to satisfy the quality and reliability demands of various stakeholders, it is important to observe and incorporate quality assurance in the production process.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Different quality management systems are being integrated mainly in the manufacturing sector since the inception of the ISO9001 standards for quality management. Quality control systems that enable reliability assurance are integral in producing an acceptable product or service. According to Hoefler&amp; Belli, (2015), the integration of quality control model and quality assurance reliability so far has not attracted the deserved attention. The researches regarding the </w:t>
      </w:r>
      <w:r w:rsidRPr="003B062D">
        <w:rPr>
          <w:rFonts w:ascii="Times New Roman" w:hAnsi="Times New Roman" w:cs="Times New Roman"/>
          <w:sz w:val="24"/>
          <w:szCs w:val="24"/>
        </w:rPr>
        <w:lastRenderedPageBreak/>
        <w:t>combination of quality control and reliability assurance are limited, and the majority relies on the technical integration perspective.</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The study by Arab &amp; Feng (2015) was aimed at establishing reliability issues in the manufacturing industry. The authors suggested that determining an assurance model based on system-level reliability was essential in commercializing batch manufacturing of Micro-Electro-Mechanical devices. In an attempt to promote the monitoring of reliability in manufacturing, the authors proposed Conditional Expected Value criteria (CEV) that control censored production characteristics. They presented the current technological advancements, and any future quality engineering processes should develop techniques for process control that are reliable to ensure products and services maintain predetermined reliability standards.</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Research by Fretheim, &amp;Tomic,(2015) using Statistical Process Control (SPC) suggests the use of SPC as a process monitoring tool that uses plots on time series. The two main aspects of this process include "common cause variations" and "special cause variations. Common cause variations refer to variations that translate to random fluctuations, when only common cause variations are observed it means the production process is ‘in control', alternatively when variations seem to happen by chance are due to unique external events. Control charts refer to the central component of the SPC model, which is a time series line graph with three lines; the projected mean-time line, an upper limit line and a lower limit line. The upper and lower lines are designed to measure special cause variations and are normally 3 Standard Deviation from the mean. (See figure 2)</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noProof/>
          <w:sz w:val="24"/>
          <w:szCs w:val="24"/>
        </w:rPr>
        <w:lastRenderedPageBreak/>
        <w:drawing>
          <wp:inline distT="0" distB="0" distL="0" distR="0">
            <wp:extent cx="5534025" cy="18573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34025" cy="1857375"/>
                    </a:xfrm>
                    <a:prstGeom prst="rect">
                      <a:avLst/>
                    </a:prstGeom>
                  </pic:spPr>
                </pic:pic>
              </a:graphicData>
            </a:graphic>
          </wp:inline>
        </w:drawing>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Figure 2: Time series data in control chart (CL is the Center Line; LCL is the Lower Control Line while the UCL is the Upper Control Line)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SPC approach is considered advantageous in that managers, and other administrators with statistical knowledge can understand and interpret the control chart data with ease. The charts also provide timely data that managers can be applied to make prompt decisions. Analytical insights are necessary in determining lower and upper control limits; however, once the limits are set, the application of the control charts is considered straightforward.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Other studies have embraced varying perspectives in achieving process quality. The study by Sweis et al. (2015), proposes the existence of a relationship between reliability and quality. The author also suggests that high-quality data is essential in yielding the reliability aspect of the production process. Additionally, a study by Sabet et al., (2016), emphasize on the importance of reliability in establishing a quality process hence measured reliability using a maturity matrix that relies on information flow as the main tool of realizing effectiveness in quality management. Integration of the co-effect of process reliability and product or service quality as well as the conceptual Quality-Reliability (QR) chain resulting from the integration of both is key to sustainable process quality (Sabet et al., 2016). The underlying basis of QR is a parallel hybrid model for multi-operational production nature that presents a fit among tool degradation, </w:t>
      </w:r>
      <w:r w:rsidRPr="003B062D">
        <w:rPr>
          <w:rFonts w:ascii="Times New Roman" w:hAnsi="Times New Roman" w:cs="Times New Roman"/>
          <w:sz w:val="24"/>
          <w:szCs w:val="24"/>
        </w:rPr>
        <w:lastRenderedPageBreak/>
        <w:t xml:space="preserve">dimensional quality and system configuration. The study reveals that the quality-reliability integration model can also be applied to determine system failure in production.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Further studies reviewed have closely examined the reliability management and monitoring in the production cycle. For instance, the results of a study by Michelon, et al., (2016) propose a control model that is based on cumulative defects observed to monitor and identify a failure in the production system or components and is considered effective in expansive monitoring of process reliability. A six sigma based model is considered by (Pussegoda et al., 2017), as a high-quality reliability commitment in a large scale production where sub-contracting is essential. In this model, manufacturing streams are subjected to a quality and reliability check by identifying and removing early production failures that could have occurred after system installation. The author further argues that production that is reliability-oriented using reliability capability and quality control, the use of maturity assessment is indispensable in ensuring an effective, reliable and assured production process. Despite the preceding literature review indicating assurances in-process quality by integrating quality control and reliability in this twenty-first century, few researched have been conducted to examine the reliability-oriented model of quality control.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The water strategy of Saudi Arabia identifies with the adoption and relentless efforts in the implementation of management decisions to protect and conserve the aquatic ecosystem and create an enabling environment for the effective interactions of all water-related stakeholders (Choi, 2018). The other main components of Saudi Arabian water management include sewerage, water desalination, treatment and distribution. The effective process of water harvesting, treatment and distribution help in reducing the negative impact on our water bodies through the improvement of the wastewater quality and the protection of the natural </w:t>
      </w:r>
      <w:r w:rsidRPr="003B062D">
        <w:rPr>
          <w:rFonts w:ascii="Times New Roman" w:hAnsi="Times New Roman" w:cs="Times New Roman"/>
          <w:sz w:val="24"/>
          <w:szCs w:val="24"/>
        </w:rPr>
        <w:lastRenderedPageBreak/>
        <w:t xml:space="preserve">environment. Statistically, contaminated sewerage water from commercial activities and household consumption account for over 60% of the total discharged sewerage in volume. The reason behind this is the fact treatment machines wear and tear over time plus the discharge of contaminated effluent from industries into the sewerage system.  </w:t>
      </w:r>
    </w:p>
    <w:p w:rsidR="003B062D" w:rsidRPr="003B062D" w:rsidRDefault="003B062D" w:rsidP="003B062D">
      <w:pPr>
        <w:spacing w:line="480" w:lineRule="auto"/>
        <w:ind w:firstLine="720"/>
        <w:rPr>
          <w:rFonts w:ascii="Times New Roman" w:hAnsi="Times New Roman" w:cs="Times New Roman"/>
          <w:sz w:val="24"/>
          <w:szCs w:val="24"/>
        </w:rPr>
      </w:pPr>
      <w:r w:rsidRPr="003B062D">
        <w:rPr>
          <w:rFonts w:ascii="Times New Roman" w:hAnsi="Times New Roman" w:cs="Times New Roman"/>
          <w:sz w:val="24"/>
          <w:szCs w:val="24"/>
        </w:rPr>
        <w:t xml:space="preserve"> Over 50% of drinking water in Saudi Arabia is obtained by desalination whereas from the underground non-renewable water source and 10% is gotten from surface water from mainly the mountainous southwest of the nation. </w:t>
      </w:r>
    </w:p>
    <w:p w:rsidR="003B062D" w:rsidRPr="003B062D" w:rsidRDefault="003B062D" w:rsidP="003B062D">
      <w:pPr>
        <w:spacing w:line="480" w:lineRule="auto"/>
        <w:rPr>
          <w:rFonts w:ascii="Times New Roman" w:hAnsi="Times New Roman" w:cs="Times New Roman"/>
          <w:sz w:val="24"/>
          <w:szCs w:val="24"/>
        </w:rPr>
      </w:pPr>
    </w:p>
    <w:p w:rsidR="003B062D" w:rsidRPr="003B062D" w:rsidRDefault="003B062D" w:rsidP="003B062D">
      <w:pPr>
        <w:spacing w:line="480" w:lineRule="auto"/>
        <w:rPr>
          <w:rFonts w:ascii="Times New Roman" w:hAnsi="Times New Roman" w:cs="Times New Roman"/>
          <w:sz w:val="24"/>
          <w:szCs w:val="24"/>
        </w:rPr>
      </w:pPr>
      <w:r w:rsidRPr="003B062D">
        <w:rPr>
          <w:rFonts w:ascii="Times New Roman" w:hAnsi="Times New Roman" w:cs="Times New Roman"/>
          <w:sz w:val="24"/>
          <w:szCs w:val="24"/>
        </w:rPr>
        <w:br w:type="page"/>
      </w:r>
    </w:p>
    <w:p w:rsidR="000134BD" w:rsidRPr="003B062D" w:rsidRDefault="00112243" w:rsidP="003B062D">
      <w:pPr>
        <w:spacing w:line="480" w:lineRule="auto"/>
        <w:rPr>
          <w:rFonts w:ascii="Times New Roman" w:hAnsi="Times New Roman" w:cs="Times New Roman"/>
          <w:color w:val="1B1B1B"/>
          <w:sz w:val="24"/>
          <w:szCs w:val="24"/>
          <w:shd w:val="clear" w:color="auto" w:fill="FFFFFF"/>
        </w:rPr>
      </w:pPr>
      <w:r w:rsidRPr="003B062D">
        <w:rPr>
          <w:rFonts w:ascii="Times New Roman" w:hAnsi="Times New Roman" w:cs="Times New Roman"/>
          <w:color w:val="1B1B1B"/>
          <w:sz w:val="24"/>
          <w:szCs w:val="24"/>
          <w:shd w:val="clear" w:color="auto" w:fill="FFFFFF"/>
        </w:rPr>
        <w:lastRenderedPageBreak/>
        <w:t>References</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Ambroggio, L., Schondelmeyer, A., Hoefgen, E., Brady, P., &amp; Shaughnessy, E. (2017). Quality Improvement Feature Series Article 4: Advanced Designs for Quality Improvement Studies. </w:t>
      </w:r>
      <w:r w:rsidRPr="003B062D">
        <w:rPr>
          <w:rFonts w:ascii="Times New Roman" w:hAnsi="Times New Roman" w:cs="Times New Roman"/>
          <w:i/>
          <w:iCs/>
          <w:color w:val="222222"/>
          <w:sz w:val="24"/>
          <w:szCs w:val="24"/>
          <w:shd w:val="clear" w:color="auto" w:fill="FFFFFF"/>
        </w:rPr>
        <w:t>Journal of the Pediatric Infectious Diseases Society</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7</w:t>
      </w:r>
      <w:r w:rsidRPr="003B062D">
        <w:rPr>
          <w:rFonts w:ascii="Times New Roman" w:hAnsi="Times New Roman" w:cs="Times New Roman"/>
          <w:color w:val="222222"/>
          <w:sz w:val="24"/>
          <w:szCs w:val="24"/>
          <w:shd w:val="clear" w:color="auto" w:fill="FFFFFF"/>
        </w:rPr>
        <w:t>(4), 335-337.</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Antipov, D., &amp;Ushanova, N. (2017).Evaluation of the quality of the process by measuring the index of opportunities. </w:t>
      </w:r>
      <w:r w:rsidRPr="003B062D">
        <w:rPr>
          <w:rFonts w:ascii="Times New Roman" w:hAnsi="Times New Roman" w:cs="Times New Roman"/>
          <w:i/>
          <w:iCs/>
          <w:color w:val="222222"/>
          <w:sz w:val="24"/>
          <w:szCs w:val="24"/>
          <w:shd w:val="clear" w:color="auto" w:fill="FFFFFF"/>
        </w:rPr>
        <w:t>International Journal for Quality Research</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11</w:t>
      </w:r>
      <w:r w:rsidRPr="003B062D">
        <w:rPr>
          <w:rFonts w:ascii="Times New Roman" w:hAnsi="Times New Roman" w:cs="Times New Roman"/>
          <w:color w:val="222222"/>
          <w:sz w:val="24"/>
          <w:szCs w:val="24"/>
          <w:shd w:val="clear" w:color="auto" w:fill="FFFFFF"/>
        </w:rPr>
        <w:t>(2), 457-468.</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Arab, A., &amp; Feng, Q. (2015). Reliability research on micro-and nano-electromechanical systems: a review. </w:t>
      </w:r>
      <w:r w:rsidRPr="003B062D">
        <w:rPr>
          <w:rFonts w:ascii="Times New Roman" w:hAnsi="Times New Roman" w:cs="Times New Roman"/>
          <w:i/>
          <w:iCs/>
          <w:color w:val="222222"/>
          <w:sz w:val="24"/>
          <w:szCs w:val="24"/>
          <w:shd w:val="clear" w:color="auto" w:fill="FFFFFF"/>
        </w:rPr>
        <w:t>The International Journal of Advanced Manufacturing Technology</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74</w:t>
      </w:r>
      <w:r w:rsidRPr="003B062D">
        <w:rPr>
          <w:rFonts w:ascii="Times New Roman" w:hAnsi="Times New Roman" w:cs="Times New Roman"/>
          <w:color w:val="222222"/>
          <w:sz w:val="24"/>
          <w:szCs w:val="24"/>
          <w:shd w:val="clear" w:color="auto" w:fill="FFFFFF"/>
        </w:rPr>
        <w:t>(9-12), 1679-1690.</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Castka, P., Prajogo, D., Sohal, A., &amp; Yeung, A. C. (2015).Understanding firms׳ selection of their ISO 9000 third-party certifiers. </w:t>
      </w:r>
      <w:r w:rsidRPr="003B062D">
        <w:rPr>
          <w:rFonts w:ascii="Times New Roman" w:hAnsi="Times New Roman" w:cs="Times New Roman"/>
          <w:i/>
          <w:iCs/>
          <w:color w:val="222222"/>
          <w:sz w:val="24"/>
          <w:szCs w:val="24"/>
          <w:shd w:val="clear" w:color="auto" w:fill="FFFFFF"/>
        </w:rPr>
        <w:t>International Journal of Production Economics</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162</w:t>
      </w:r>
      <w:r w:rsidRPr="003B062D">
        <w:rPr>
          <w:rFonts w:ascii="Times New Roman" w:hAnsi="Times New Roman" w:cs="Times New Roman"/>
          <w:color w:val="222222"/>
          <w:sz w:val="24"/>
          <w:szCs w:val="24"/>
          <w:shd w:val="clear" w:color="auto" w:fill="FFFFFF"/>
        </w:rPr>
        <w:t>, 125-133.</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Choi, I. C. (2018). </w:t>
      </w:r>
      <w:r w:rsidRPr="003B062D">
        <w:rPr>
          <w:rFonts w:ascii="Times New Roman" w:hAnsi="Times New Roman" w:cs="Times New Roman"/>
          <w:i/>
          <w:iCs/>
          <w:color w:val="222222"/>
          <w:sz w:val="24"/>
          <w:szCs w:val="24"/>
          <w:shd w:val="clear" w:color="auto" w:fill="FFFFFF"/>
        </w:rPr>
        <w:t>Capturing the Aquatic Ecosystem Service Value of Water Quality Improvement and Biodiversity Conservation: Defining Water Challenges and Correcting the Biases in Valuation Approach</w:t>
      </w:r>
      <w:r w:rsidRPr="003B062D">
        <w:rPr>
          <w:rFonts w:ascii="Times New Roman" w:hAnsi="Times New Roman" w:cs="Times New Roman"/>
          <w:color w:val="222222"/>
          <w:sz w:val="24"/>
          <w:szCs w:val="24"/>
          <w:shd w:val="clear" w:color="auto" w:fill="FFFFFF"/>
        </w:rPr>
        <w:t> (Doctoral dissertation).</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Fretheim, A., &amp;Tomic, O. (2015). Statistical process control and interrupted time series: a golden opportunity for impact evaluation in quality improvement. </w:t>
      </w:r>
      <w:r w:rsidRPr="003B062D">
        <w:rPr>
          <w:rFonts w:ascii="Times New Roman" w:hAnsi="Times New Roman" w:cs="Times New Roman"/>
          <w:i/>
          <w:iCs/>
          <w:color w:val="222222"/>
          <w:sz w:val="24"/>
          <w:szCs w:val="24"/>
          <w:shd w:val="clear" w:color="auto" w:fill="FFFFFF"/>
        </w:rPr>
        <w:t>BMJ QualSaf</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24</w:t>
      </w:r>
      <w:r w:rsidRPr="003B062D">
        <w:rPr>
          <w:rFonts w:ascii="Times New Roman" w:hAnsi="Times New Roman" w:cs="Times New Roman"/>
          <w:color w:val="222222"/>
          <w:sz w:val="24"/>
          <w:szCs w:val="24"/>
          <w:shd w:val="clear" w:color="auto" w:fill="FFFFFF"/>
        </w:rPr>
        <w:t>(12), 748-752.</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 xml:space="preserve">Gureva, M. A., Kirillov, A. V., Vinichenko, M. V., Melnichuk, A. V., &amp;Melnychuk, Y. A. (2016). Management of innovations and innovative process: concept, essence, </w:t>
      </w:r>
      <w:r w:rsidRPr="003B062D">
        <w:rPr>
          <w:rFonts w:ascii="Times New Roman" w:hAnsi="Times New Roman" w:cs="Times New Roman"/>
          <w:color w:val="222222"/>
          <w:sz w:val="24"/>
          <w:szCs w:val="24"/>
          <w:shd w:val="clear" w:color="auto" w:fill="FFFFFF"/>
        </w:rPr>
        <w:lastRenderedPageBreak/>
        <w:t>classification and diffusion. </w:t>
      </w:r>
      <w:r w:rsidRPr="003B062D">
        <w:rPr>
          <w:rFonts w:ascii="Times New Roman" w:hAnsi="Times New Roman" w:cs="Times New Roman"/>
          <w:i/>
          <w:iCs/>
          <w:color w:val="222222"/>
          <w:sz w:val="24"/>
          <w:szCs w:val="24"/>
          <w:shd w:val="clear" w:color="auto" w:fill="FFFFFF"/>
        </w:rPr>
        <w:t>International review of management and marketing</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6</w:t>
      </w:r>
      <w:r w:rsidRPr="003B062D">
        <w:rPr>
          <w:rFonts w:ascii="Times New Roman" w:hAnsi="Times New Roman" w:cs="Times New Roman"/>
          <w:color w:val="222222"/>
          <w:sz w:val="24"/>
          <w:szCs w:val="24"/>
          <w:shd w:val="clear" w:color="auto" w:fill="FFFFFF"/>
        </w:rPr>
        <w:t>(6S), 147-153.</w:t>
      </w:r>
    </w:p>
    <w:p w:rsidR="00066B4C" w:rsidRPr="003B062D" w:rsidRDefault="00066B4C"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Hoefler, T., &amp; Belli, R. (2015, November). Scientific benchmarking of parallel computing systems: twelve ways to tell the masses when reporting performance results. In </w:t>
      </w:r>
      <w:r w:rsidRPr="003B062D">
        <w:rPr>
          <w:rFonts w:ascii="Times New Roman" w:hAnsi="Times New Roman" w:cs="Times New Roman"/>
          <w:i/>
          <w:iCs/>
          <w:color w:val="222222"/>
          <w:sz w:val="24"/>
          <w:szCs w:val="24"/>
          <w:shd w:val="clear" w:color="auto" w:fill="FFFFFF"/>
        </w:rPr>
        <w:t>Proceedings of the international conference for high performance computing, networking, storage and analysis</w:t>
      </w:r>
      <w:r w:rsidRPr="003B062D">
        <w:rPr>
          <w:rFonts w:ascii="Times New Roman" w:hAnsi="Times New Roman" w:cs="Times New Roman"/>
          <w:color w:val="222222"/>
          <w:sz w:val="24"/>
          <w:szCs w:val="24"/>
          <w:shd w:val="clear" w:color="auto" w:fill="FFFFFF"/>
        </w:rPr>
        <w:t> (p. 73).ACM.</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Huang, K. E., Wu, J. H., Lu, S. Y., &amp; Lin, Y. C. (2017). Innovation and technology creation effects on organizational performance. </w:t>
      </w:r>
      <w:r w:rsidRPr="003B062D">
        <w:rPr>
          <w:rFonts w:ascii="Times New Roman" w:hAnsi="Times New Roman" w:cs="Times New Roman"/>
          <w:i/>
          <w:iCs/>
          <w:color w:val="222222"/>
          <w:sz w:val="24"/>
          <w:szCs w:val="24"/>
          <w:shd w:val="clear" w:color="auto" w:fill="FFFFFF"/>
        </w:rPr>
        <w:t>Journal of Business Research</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69</w:t>
      </w:r>
      <w:r w:rsidRPr="003B062D">
        <w:rPr>
          <w:rFonts w:ascii="Times New Roman" w:hAnsi="Times New Roman" w:cs="Times New Roman"/>
          <w:color w:val="222222"/>
          <w:sz w:val="24"/>
          <w:szCs w:val="24"/>
          <w:shd w:val="clear" w:color="auto" w:fill="FFFFFF"/>
        </w:rPr>
        <w:t>(6), 2187-2192.</w:t>
      </w:r>
    </w:p>
    <w:p w:rsidR="004658F7" w:rsidRPr="003B062D" w:rsidRDefault="004658F7"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Javed, F., &amp; Cheema, S. (2017). Customer satisfaction and customer perceived value and its impact on customer loyalty: the mediational role of customer relationship management. </w:t>
      </w:r>
      <w:r w:rsidRPr="003B062D">
        <w:rPr>
          <w:rFonts w:ascii="Times New Roman" w:hAnsi="Times New Roman" w:cs="Times New Roman"/>
          <w:i/>
          <w:iCs/>
          <w:color w:val="222222"/>
          <w:sz w:val="24"/>
          <w:szCs w:val="24"/>
          <w:shd w:val="clear" w:color="auto" w:fill="FFFFFF"/>
        </w:rPr>
        <w:t>The Journal of Internet Banking and Commerce</w:t>
      </w:r>
      <w:r w:rsidRPr="003B062D">
        <w:rPr>
          <w:rFonts w:ascii="Times New Roman" w:hAnsi="Times New Roman" w:cs="Times New Roman"/>
          <w:color w:val="222222"/>
          <w:sz w:val="24"/>
          <w:szCs w:val="24"/>
          <w:shd w:val="clear" w:color="auto" w:fill="FFFFFF"/>
        </w:rPr>
        <w:t>, 1-14.</w:t>
      </w:r>
    </w:p>
    <w:p w:rsidR="00DE4258" w:rsidRPr="003B062D" w:rsidRDefault="006A66CD"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Kasiri, L. A., Cheng, K. T. G., Sambasivan, M., &amp;Sidin, S. M. (2017). Integration of standardization and customization: Impact on service quality, customer satisfaction, and loyalty. </w:t>
      </w:r>
      <w:r w:rsidRPr="003B062D">
        <w:rPr>
          <w:rFonts w:ascii="Times New Roman" w:hAnsi="Times New Roman" w:cs="Times New Roman"/>
          <w:i/>
          <w:iCs/>
          <w:color w:val="222222"/>
          <w:sz w:val="24"/>
          <w:szCs w:val="24"/>
          <w:shd w:val="clear" w:color="auto" w:fill="FFFFFF"/>
        </w:rPr>
        <w:t>Journal of Retailing and Consumer Services</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35</w:t>
      </w:r>
      <w:r w:rsidRPr="003B062D">
        <w:rPr>
          <w:rFonts w:ascii="Times New Roman" w:hAnsi="Times New Roman" w:cs="Times New Roman"/>
          <w:color w:val="222222"/>
          <w:sz w:val="24"/>
          <w:szCs w:val="24"/>
          <w:shd w:val="clear" w:color="auto" w:fill="FFFFFF"/>
        </w:rPr>
        <w:t>, 91-97.</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Khanam, S., Siddiqui, J., &amp;Talib, F. (2016). Role of information technology in total quality management: a literature review. </w:t>
      </w:r>
      <w:r w:rsidRPr="003B062D">
        <w:rPr>
          <w:rFonts w:ascii="Times New Roman" w:hAnsi="Times New Roman" w:cs="Times New Roman"/>
          <w:i/>
          <w:iCs/>
          <w:color w:val="222222"/>
          <w:sz w:val="24"/>
          <w:szCs w:val="24"/>
          <w:shd w:val="clear" w:color="auto" w:fill="FFFFFF"/>
        </w:rPr>
        <w:t>Khanam, S, Siddiqui, J. and Talib, F.(2013),“Role of Information Technology in Total Quality Management: A Literature Review”, International Journal of Advanced Research in Computer Engineering and Technology</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w:t>
      </w:r>
      <w:r w:rsidRPr="003B062D">
        <w:rPr>
          <w:rFonts w:ascii="Times New Roman" w:hAnsi="Times New Roman" w:cs="Times New Roman"/>
          <w:color w:val="222222"/>
          <w:sz w:val="24"/>
          <w:szCs w:val="24"/>
          <w:shd w:val="clear" w:color="auto" w:fill="FFFFFF"/>
        </w:rPr>
        <w:t>(8), 2433-2445.</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Kowalik, K., &amp;Klimecka-Tatar, D. (2018).The process approach to service quality management. </w:t>
      </w:r>
      <w:r w:rsidRPr="003B062D">
        <w:rPr>
          <w:rFonts w:ascii="Times New Roman" w:hAnsi="Times New Roman" w:cs="Times New Roman"/>
          <w:i/>
          <w:iCs/>
          <w:color w:val="222222"/>
          <w:sz w:val="24"/>
          <w:szCs w:val="24"/>
          <w:shd w:val="clear" w:color="auto" w:fill="FFFFFF"/>
        </w:rPr>
        <w:t>Production Engineering Archives</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18</w:t>
      </w:r>
      <w:r w:rsidRPr="003B062D">
        <w:rPr>
          <w:rFonts w:ascii="Times New Roman" w:hAnsi="Times New Roman" w:cs="Times New Roman"/>
          <w:color w:val="222222"/>
          <w:sz w:val="24"/>
          <w:szCs w:val="24"/>
          <w:shd w:val="clear" w:color="auto" w:fill="FFFFFF"/>
        </w:rPr>
        <w:t>.</w:t>
      </w:r>
    </w:p>
    <w:p w:rsidR="006A66CD" w:rsidRPr="003B062D" w:rsidRDefault="006A66CD"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lastRenderedPageBreak/>
        <w:t>Lee, Y. C., Wang, Y. C., Lu, S. C., Hsieh, Y. F., Chien, C. H., Tsai, S. B., &amp; Dong, W. (2016). An empirical research on customer satisfaction study: A consideration of different levels of performance. </w:t>
      </w:r>
      <w:r w:rsidRPr="003B062D">
        <w:rPr>
          <w:rFonts w:ascii="Times New Roman" w:hAnsi="Times New Roman" w:cs="Times New Roman"/>
          <w:i/>
          <w:iCs/>
          <w:color w:val="222222"/>
          <w:sz w:val="24"/>
          <w:szCs w:val="24"/>
          <w:shd w:val="clear" w:color="auto" w:fill="FFFFFF"/>
        </w:rPr>
        <w:t>SpringerPlus</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5</w:t>
      </w:r>
      <w:r w:rsidRPr="003B062D">
        <w:rPr>
          <w:rFonts w:ascii="Times New Roman" w:hAnsi="Times New Roman" w:cs="Times New Roman"/>
          <w:color w:val="222222"/>
          <w:sz w:val="24"/>
          <w:szCs w:val="24"/>
          <w:shd w:val="clear" w:color="auto" w:fill="FFFFFF"/>
        </w:rPr>
        <w:t>(1), 1577.</w:t>
      </w:r>
    </w:p>
    <w:p w:rsidR="00066B4C" w:rsidRPr="003B062D" w:rsidRDefault="00066B4C"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Maynard, G., Schnipper, J. L., Messler, J., Ramos, P., Kulasa, K., Nolan, A., &amp; Rogers, K. (2015).Design and implementation of a web-based reporting and benchmarking center for inpatient glucometrics. </w:t>
      </w:r>
      <w:r w:rsidRPr="003B062D">
        <w:rPr>
          <w:rFonts w:ascii="Times New Roman" w:hAnsi="Times New Roman" w:cs="Times New Roman"/>
          <w:i/>
          <w:iCs/>
          <w:color w:val="222222"/>
          <w:sz w:val="24"/>
          <w:szCs w:val="24"/>
          <w:shd w:val="clear" w:color="auto" w:fill="FFFFFF"/>
        </w:rPr>
        <w:t>Journal of diabetes science and technology</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8</w:t>
      </w:r>
      <w:r w:rsidRPr="003B062D">
        <w:rPr>
          <w:rFonts w:ascii="Times New Roman" w:hAnsi="Times New Roman" w:cs="Times New Roman"/>
          <w:color w:val="222222"/>
          <w:sz w:val="24"/>
          <w:szCs w:val="24"/>
          <w:shd w:val="clear" w:color="auto" w:fill="FFFFFF"/>
        </w:rPr>
        <w:t>(4), 630-640.</w:t>
      </w:r>
    </w:p>
    <w:p w:rsidR="00066B4C" w:rsidRPr="003B062D" w:rsidRDefault="00066B4C"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Michelon, G., Pilonato, S., &amp;Ricceri, F. (2016). CSR reporting practices and the quality of disclosure: An empirical analysis. </w:t>
      </w:r>
      <w:r w:rsidRPr="003B062D">
        <w:rPr>
          <w:rFonts w:ascii="Times New Roman" w:hAnsi="Times New Roman" w:cs="Times New Roman"/>
          <w:i/>
          <w:iCs/>
          <w:color w:val="222222"/>
          <w:sz w:val="24"/>
          <w:szCs w:val="24"/>
          <w:shd w:val="clear" w:color="auto" w:fill="FFFFFF"/>
        </w:rPr>
        <w:t>Critical perspectives on accounting</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33</w:t>
      </w:r>
      <w:r w:rsidRPr="003B062D">
        <w:rPr>
          <w:rFonts w:ascii="Times New Roman" w:hAnsi="Times New Roman" w:cs="Times New Roman"/>
          <w:color w:val="222222"/>
          <w:sz w:val="24"/>
          <w:szCs w:val="24"/>
          <w:shd w:val="clear" w:color="auto" w:fill="FFFFFF"/>
        </w:rPr>
        <w:t>, 59-78.</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Nallusamy, S. (2016). A proposed model for sustaining quality assurance using TQM practices in small and medium scale industries. In </w:t>
      </w:r>
      <w:r w:rsidRPr="003B062D">
        <w:rPr>
          <w:rFonts w:ascii="Times New Roman" w:hAnsi="Times New Roman" w:cs="Times New Roman"/>
          <w:i/>
          <w:iCs/>
          <w:color w:val="222222"/>
          <w:sz w:val="24"/>
          <w:szCs w:val="24"/>
          <w:shd w:val="clear" w:color="auto" w:fill="FFFFFF"/>
        </w:rPr>
        <w:t>International Journal of Engineering Research in Africa</w:t>
      </w:r>
      <w:r w:rsidRPr="003B062D">
        <w:rPr>
          <w:rFonts w:ascii="Times New Roman" w:hAnsi="Times New Roman" w:cs="Times New Roman"/>
          <w:color w:val="222222"/>
          <w:sz w:val="24"/>
          <w:szCs w:val="24"/>
          <w:shd w:val="clear" w:color="auto" w:fill="FFFFFF"/>
        </w:rPr>
        <w:t> (Vol. 22, pp. 184-190).Trans Tech Publications.</w:t>
      </w:r>
    </w:p>
    <w:p w:rsidR="006A66CD" w:rsidRPr="003B062D" w:rsidRDefault="006A66CD"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Oh, H., &amp; Kim, K. (2017). Customer satisfaction, service quality, and customer value: years 2000-2015. </w:t>
      </w:r>
      <w:r w:rsidRPr="003B062D">
        <w:rPr>
          <w:rFonts w:ascii="Times New Roman" w:hAnsi="Times New Roman" w:cs="Times New Roman"/>
          <w:i/>
          <w:iCs/>
          <w:color w:val="222222"/>
          <w:sz w:val="24"/>
          <w:szCs w:val="24"/>
          <w:shd w:val="clear" w:color="auto" w:fill="FFFFFF"/>
        </w:rPr>
        <w:t>International Journal of Contemporary Hospitality Management</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29</w:t>
      </w:r>
      <w:r w:rsidRPr="003B062D">
        <w:rPr>
          <w:rFonts w:ascii="Times New Roman" w:hAnsi="Times New Roman" w:cs="Times New Roman"/>
          <w:color w:val="222222"/>
          <w:sz w:val="24"/>
          <w:szCs w:val="24"/>
          <w:shd w:val="clear" w:color="auto" w:fill="FFFFFF"/>
        </w:rPr>
        <w:t>(1), 2-29.</w:t>
      </w:r>
    </w:p>
    <w:p w:rsidR="006A66CD" w:rsidRPr="003B062D" w:rsidRDefault="004658F7"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Popp, B., &amp;Woratschek, H. (2017). Consumer–brand identification revisited: An integrative framework of brand identification, customer satisfaction, and price image and their role for brand loyalty and word of mouth. </w:t>
      </w:r>
      <w:r w:rsidRPr="003B062D">
        <w:rPr>
          <w:rFonts w:ascii="Times New Roman" w:hAnsi="Times New Roman" w:cs="Times New Roman"/>
          <w:i/>
          <w:iCs/>
          <w:color w:val="222222"/>
          <w:sz w:val="24"/>
          <w:szCs w:val="24"/>
          <w:shd w:val="clear" w:color="auto" w:fill="FFFFFF"/>
        </w:rPr>
        <w:t>Journal of Brand Management</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24</w:t>
      </w:r>
      <w:r w:rsidRPr="003B062D">
        <w:rPr>
          <w:rFonts w:ascii="Times New Roman" w:hAnsi="Times New Roman" w:cs="Times New Roman"/>
          <w:color w:val="222222"/>
          <w:sz w:val="24"/>
          <w:szCs w:val="24"/>
          <w:shd w:val="clear" w:color="auto" w:fill="FFFFFF"/>
        </w:rPr>
        <w:t>(3), 250-270.</w:t>
      </w:r>
    </w:p>
    <w:p w:rsidR="00066B4C" w:rsidRPr="003B062D" w:rsidRDefault="00066B4C"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Pussegoda, K., Turner, L., Garritty, C., Mayhew, A., Skidmore, B., Stevens, A., ...&amp; Altman, D. G. (2017). Systematic review adherence to methodological or reporting quality. </w:t>
      </w:r>
      <w:r w:rsidRPr="003B062D">
        <w:rPr>
          <w:rFonts w:ascii="Times New Roman" w:hAnsi="Times New Roman" w:cs="Times New Roman"/>
          <w:i/>
          <w:iCs/>
          <w:color w:val="222222"/>
          <w:sz w:val="24"/>
          <w:szCs w:val="24"/>
          <w:shd w:val="clear" w:color="auto" w:fill="FFFFFF"/>
        </w:rPr>
        <w:t>Systematic reviews</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6</w:t>
      </w:r>
      <w:r w:rsidRPr="003B062D">
        <w:rPr>
          <w:rFonts w:ascii="Times New Roman" w:hAnsi="Times New Roman" w:cs="Times New Roman"/>
          <w:color w:val="222222"/>
          <w:sz w:val="24"/>
          <w:szCs w:val="24"/>
          <w:shd w:val="clear" w:color="auto" w:fill="FFFFFF"/>
        </w:rPr>
        <w:t>(1), 131.</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lastRenderedPageBreak/>
        <w:t>Rahimi, F., Møller, C., &amp;Hvam, L. (2016). Business process management and IT management: The missing integration. </w:t>
      </w:r>
      <w:r w:rsidRPr="003B062D">
        <w:rPr>
          <w:rFonts w:ascii="Times New Roman" w:hAnsi="Times New Roman" w:cs="Times New Roman"/>
          <w:i/>
          <w:iCs/>
          <w:color w:val="222222"/>
          <w:sz w:val="24"/>
          <w:szCs w:val="24"/>
          <w:shd w:val="clear" w:color="auto" w:fill="FFFFFF"/>
        </w:rPr>
        <w:t>International Journal of Information Management</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36</w:t>
      </w:r>
      <w:r w:rsidRPr="003B062D">
        <w:rPr>
          <w:rFonts w:ascii="Times New Roman" w:hAnsi="Times New Roman" w:cs="Times New Roman"/>
          <w:color w:val="222222"/>
          <w:sz w:val="24"/>
          <w:szCs w:val="24"/>
          <w:shd w:val="clear" w:color="auto" w:fill="FFFFFF"/>
        </w:rPr>
        <w:t>(1), 142-154.</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Sabet, E., Adams, E., &amp;Yazdani, B. (2016). Quality management in heavy duty manufacturing industry: TQM vs. Six Sigma. </w:t>
      </w:r>
      <w:r w:rsidRPr="003B062D">
        <w:rPr>
          <w:rFonts w:ascii="Times New Roman" w:hAnsi="Times New Roman" w:cs="Times New Roman"/>
          <w:i/>
          <w:iCs/>
          <w:color w:val="222222"/>
          <w:sz w:val="24"/>
          <w:szCs w:val="24"/>
          <w:shd w:val="clear" w:color="auto" w:fill="FFFFFF"/>
        </w:rPr>
        <w:t>Total Quality Management &amp; Business Excellence</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27</w:t>
      </w:r>
      <w:r w:rsidRPr="003B062D">
        <w:rPr>
          <w:rFonts w:ascii="Times New Roman" w:hAnsi="Times New Roman" w:cs="Times New Roman"/>
          <w:color w:val="222222"/>
          <w:sz w:val="24"/>
          <w:szCs w:val="24"/>
          <w:shd w:val="clear" w:color="auto" w:fill="FFFFFF"/>
        </w:rPr>
        <w:t>(1-2), 215-225.</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Sarancha, S. Y., Levandovskiy, S. A., Statsenko, J. S., &amp; Moller, A. B. (2016). Information technology as quality management tool of cutting production and efficiency of the section-rolling mill. </w:t>
      </w:r>
      <w:r w:rsidRPr="003B062D">
        <w:rPr>
          <w:rFonts w:ascii="Times New Roman" w:hAnsi="Times New Roman" w:cs="Times New Roman"/>
          <w:i/>
          <w:iCs/>
          <w:color w:val="222222"/>
          <w:sz w:val="24"/>
          <w:szCs w:val="24"/>
          <w:shd w:val="clear" w:color="auto" w:fill="FFFFFF"/>
        </w:rPr>
        <w:t>Russian Internet Journal of Industrial Engineering</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w:t>
      </w:r>
      <w:r w:rsidRPr="003B062D">
        <w:rPr>
          <w:rFonts w:ascii="Times New Roman" w:hAnsi="Times New Roman" w:cs="Times New Roman"/>
          <w:color w:val="222222"/>
          <w:sz w:val="24"/>
          <w:szCs w:val="24"/>
          <w:shd w:val="clear" w:color="auto" w:fill="FFFFFF"/>
        </w:rPr>
        <w:t>(4), 54-56.</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Slack, N., &amp; Brandon-Jones, A. (2018). </w:t>
      </w:r>
      <w:r w:rsidRPr="003B062D">
        <w:rPr>
          <w:rFonts w:ascii="Times New Roman" w:hAnsi="Times New Roman" w:cs="Times New Roman"/>
          <w:i/>
          <w:iCs/>
          <w:color w:val="222222"/>
          <w:sz w:val="24"/>
          <w:szCs w:val="24"/>
          <w:shd w:val="clear" w:color="auto" w:fill="FFFFFF"/>
        </w:rPr>
        <w:t>Operations and process management: principles and practice for strategic impact</w:t>
      </w:r>
      <w:r w:rsidRPr="003B062D">
        <w:rPr>
          <w:rFonts w:ascii="Times New Roman" w:hAnsi="Times New Roman" w:cs="Times New Roman"/>
          <w:color w:val="222222"/>
          <w:sz w:val="24"/>
          <w:szCs w:val="24"/>
          <w:shd w:val="clear" w:color="auto" w:fill="FFFFFF"/>
        </w:rPr>
        <w:t>. Pearson UK.</w:t>
      </w:r>
    </w:p>
    <w:p w:rsidR="00112243" w:rsidRPr="003B062D" w:rsidRDefault="00112243"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Sweis, R. J., Al-Ghawi, H. J., AlSaleh, N. A. A., Al-Zu'bi, Z. B. M., &amp;Obeidat, B. Y. (2015). Benchmarking of TQM: the case of Hikma Pharmaceuticals company. </w:t>
      </w:r>
      <w:r w:rsidRPr="003B062D">
        <w:rPr>
          <w:rFonts w:ascii="Times New Roman" w:hAnsi="Times New Roman" w:cs="Times New Roman"/>
          <w:i/>
          <w:iCs/>
          <w:color w:val="222222"/>
          <w:sz w:val="24"/>
          <w:szCs w:val="24"/>
          <w:shd w:val="clear" w:color="auto" w:fill="FFFFFF"/>
        </w:rPr>
        <w:t>Benchmarking: An International Journal</w:t>
      </w:r>
      <w:r w:rsidRPr="003B062D">
        <w:rPr>
          <w:rFonts w:ascii="Times New Roman" w:hAnsi="Times New Roman" w:cs="Times New Roman"/>
          <w:color w:val="222222"/>
          <w:sz w:val="24"/>
          <w:szCs w:val="24"/>
          <w:shd w:val="clear" w:color="auto" w:fill="FFFFFF"/>
        </w:rPr>
        <w:t>, </w:t>
      </w:r>
      <w:r w:rsidRPr="003B062D">
        <w:rPr>
          <w:rFonts w:ascii="Times New Roman" w:hAnsi="Times New Roman" w:cs="Times New Roman"/>
          <w:i/>
          <w:iCs/>
          <w:color w:val="222222"/>
          <w:sz w:val="24"/>
          <w:szCs w:val="24"/>
          <w:shd w:val="clear" w:color="auto" w:fill="FFFFFF"/>
        </w:rPr>
        <w:t>22</w:t>
      </w:r>
      <w:r w:rsidRPr="003B062D">
        <w:rPr>
          <w:rFonts w:ascii="Times New Roman" w:hAnsi="Times New Roman" w:cs="Times New Roman"/>
          <w:color w:val="222222"/>
          <w:sz w:val="24"/>
          <w:szCs w:val="24"/>
          <w:shd w:val="clear" w:color="auto" w:fill="FFFFFF"/>
        </w:rPr>
        <w:t>(3), 488-504.</w:t>
      </w:r>
    </w:p>
    <w:p w:rsidR="00461036" w:rsidRPr="003B062D" w:rsidRDefault="00461036" w:rsidP="003B062D">
      <w:pPr>
        <w:spacing w:line="480" w:lineRule="auto"/>
        <w:ind w:left="720" w:hanging="720"/>
        <w:rPr>
          <w:rFonts w:ascii="Times New Roman" w:hAnsi="Times New Roman" w:cs="Times New Roman"/>
          <w:color w:val="222222"/>
          <w:sz w:val="24"/>
          <w:szCs w:val="24"/>
          <w:shd w:val="clear" w:color="auto" w:fill="FFFFFF"/>
        </w:rPr>
      </w:pPr>
      <w:r w:rsidRPr="003B062D">
        <w:rPr>
          <w:rFonts w:ascii="Times New Roman" w:hAnsi="Times New Roman" w:cs="Times New Roman"/>
          <w:color w:val="222222"/>
          <w:sz w:val="24"/>
          <w:szCs w:val="24"/>
          <w:shd w:val="clear" w:color="auto" w:fill="FFFFFF"/>
        </w:rPr>
        <w:t>Van Der Aalst, W. M., La Rosa, M., &amp; Santoro, F. M. (2016).Business process management.</w:t>
      </w:r>
    </w:p>
    <w:sectPr w:rsidR="00461036" w:rsidRPr="003B062D" w:rsidSect="001813D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15D" w:rsidRDefault="001E415D" w:rsidP="001813D8">
      <w:pPr>
        <w:spacing w:after="0" w:line="240" w:lineRule="auto"/>
      </w:pPr>
      <w:r>
        <w:separator/>
      </w:r>
    </w:p>
  </w:endnote>
  <w:endnote w:type="continuationSeparator" w:id="1">
    <w:p w:rsidR="001E415D" w:rsidRDefault="001E415D" w:rsidP="001813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15D" w:rsidRDefault="001E415D" w:rsidP="001813D8">
      <w:pPr>
        <w:spacing w:after="0" w:line="240" w:lineRule="auto"/>
      </w:pPr>
      <w:r>
        <w:separator/>
      </w:r>
    </w:p>
  </w:footnote>
  <w:footnote w:type="continuationSeparator" w:id="1">
    <w:p w:rsidR="001E415D" w:rsidRDefault="001E415D" w:rsidP="001813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D8" w:rsidRPr="001813D8" w:rsidRDefault="001813D8" w:rsidP="001813D8">
    <w:pPr>
      <w:pStyle w:val="Header"/>
      <w:rPr>
        <w:rFonts w:ascii="Times New Roman" w:hAnsi="Times New Roman" w:cs="Times New Roman"/>
        <w:sz w:val="24"/>
        <w:szCs w:val="24"/>
      </w:rPr>
    </w:pPr>
    <w:r w:rsidRPr="001813D8">
      <w:rPr>
        <w:rFonts w:ascii="Times New Roman" w:hAnsi="Times New Roman" w:cs="Times New Roman"/>
        <w:bCs/>
        <w:color w:val="000000" w:themeColor="text1"/>
        <w:sz w:val="24"/>
        <w:szCs w:val="24"/>
      </w:rPr>
      <w:t>TOTAL QUALITY MANAGEMENT PRACTICES</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sdt>
      <w:sdtPr>
        <w:rPr>
          <w:rFonts w:ascii="Times New Roman" w:hAnsi="Times New Roman" w:cs="Times New Roman"/>
          <w:sz w:val="24"/>
          <w:szCs w:val="24"/>
        </w:rPr>
        <w:id w:val="-1969416020"/>
        <w:docPartObj>
          <w:docPartGallery w:val="Page Numbers (Top of Page)"/>
          <w:docPartUnique/>
        </w:docPartObj>
      </w:sdtPr>
      <w:sdtEndPr>
        <w:rPr>
          <w:noProof/>
        </w:rPr>
      </w:sdtEndPr>
      <w:sdtContent>
        <w:r w:rsidR="00975FFA" w:rsidRPr="001813D8">
          <w:rPr>
            <w:rFonts w:ascii="Times New Roman" w:hAnsi="Times New Roman" w:cs="Times New Roman"/>
            <w:sz w:val="24"/>
            <w:szCs w:val="24"/>
          </w:rPr>
          <w:fldChar w:fldCharType="begin"/>
        </w:r>
        <w:r w:rsidRPr="001813D8">
          <w:rPr>
            <w:rFonts w:ascii="Times New Roman" w:hAnsi="Times New Roman" w:cs="Times New Roman"/>
            <w:sz w:val="24"/>
            <w:szCs w:val="24"/>
          </w:rPr>
          <w:instrText xml:space="preserve"> PAGE   \* MERGEFORMAT </w:instrText>
        </w:r>
        <w:r w:rsidR="00975FFA" w:rsidRPr="001813D8">
          <w:rPr>
            <w:rFonts w:ascii="Times New Roman" w:hAnsi="Times New Roman" w:cs="Times New Roman"/>
            <w:sz w:val="24"/>
            <w:szCs w:val="24"/>
          </w:rPr>
          <w:fldChar w:fldCharType="separate"/>
        </w:r>
        <w:r w:rsidR="00AE60AC">
          <w:rPr>
            <w:rFonts w:ascii="Times New Roman" w:hAnsi="Times New Roman" w:cs="Times New Roman"/>
            <w:noProof/>
            <w:sz w:val="24"/>
            <w:szCs w:val="24"/>
          </w:rPr>
          <w:t>7</w:t>
        </w:r>
        <w:r w:rsidR="00975FFA" w:rsidRPr="001813D8">
          <w:rPr>
            <w:rFonts w:ascii="Times New Roman" w:hAnsi="Times New Roman" w:cs="Times New Roman"/>
            <w:noProof/>
            <w:sz w:val="24"/>
            <w:szCs w:val="24"/>
          </w:rPr>
          <w:fldChar w:fldCharType="end"/>
        </w:r>
      </w:sdtContent>
    </w:sdt>
  </w:p>
  <w:p w:rsidR="001813D8" w:rsidRDefault="001813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D8" w:rsidRPr="001813D8" w:rsidRDefault="001813D8" w:rsidP="001813D8">
    <w:pPr>
      <w:pStyle w:val="Header"/>
      <w:rPr>
        <w:rFonts w:ascii="Times New Roman" w:hAnsi="Times New Roman" w:cs="Times New Roman"/>
        <w:sz w:val="24"/>
        <w:szCs w:val="24"/>
      </w:rPr>
    </w:pPr>
    <w:r>
      <w:rPr>
        <w:rFonts w:ascii="Times New Roman" w:hAnsi="Times New Roman" w:cs="Times New Roman"/>
        <w:bCs/>
        <w:color w:val="000000" w:themeColor="text1"/>
        <w:sz w:val="24"/>
        <w:szCs w:val="24"/>
      </w:rPr>
      <w:t xml:space="preserve">Running Head: </w:t>
    </w:r>
    <w:r w:rsidRPr="001813D8">
      <w:rPr>
        <w:rFonts w:ascii="Times New Roman" w:hAnsi="Times New Roman" w:cs="Times New Roman"/>
        <w:bCs/>
        <w:color w:val="000000" w:themeColor="text1"/>
        <w:sz w:val="24"/>
        <w:szCs w:val="24"/>
      </w:rPr>
      <w:t>TOTAL QUALITY MANAGEMENT PRACTICES</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sdt>
      <w:sdtPr>
        <w:rPr>
          <w:rFonts w:ascii="Times New Roman" w:hAnsi="Times New Roman" w:cs="Times New Roman"/>
          <w:sz w:val="24"/>
          <w:szCs w:val="24"/>
        </w:rPr>
        <w:id w:val="89052441"/>
        <w:docPartObj>
          <w:docPartGallery w:val="Page Numbers (Top of Page)"/>
          <w:docPartUnique/>
        </w:docPartObj>
      </w:sdtPr>
      <w:sdtEndPr>
        <w:rPr>
          <w:noProof/>
        </w:rPr>
      </w:sdtEndPr>
      <w:sdtContent>
        <w:r w:rsidR="00975FFA" w:rsidRPr="001813D8">
          <w:rPr>
            <w:rFonts w:ascii="Times New Roman" w:hAnsi="Times New Roman" w:cs="Times New Roman"/>
            <w:sz w:val="24"/>
            <w:szCs w:val="24"/>
          </w:rPr>
          <w:fldChar w:fldCharType="begin"/>
        </w:r>
        <w:r w:rsidRPr="001813D8">
          <w:rPr>
            <w:rFonts w:ascii="Times New Roman" w:hAnsi="Times New Roman" w:cs="Times New Roman"/>
            <w:sz w:val="24"/>
            <w:szCs w:val="24"/>
          </w:rPr>
          <w:instrText xml:space="preserve"> PAGE   \* MERGEFORMAT </w:instrText>
        </w:r>
        <w:r w:rsidR="00975FFA" w:rsidRPr="001813D8">
          <w:rPr>
            <w:rFonts w:ascii="Times New Roman" w:hAnsi="Times New Roman" w:cs="Times New Roman"/>
            <w:sz w:val="24"/>
            <w:szCs w:val="24"/>
          </w:rPr>
          <w:fldChar w:fldCharType="separate"/>
        </w:r>
        <w:r w:rsidR="00AE60AC">
          <w:rPr>
            <w:rFonts w:ascii="Times New Roman" w:hAnsi="Times New Roman" w:cs="Times New Roman"/>
            <w:noProof/>
            <w:sz w:val="24"/>
            <w:szCs w:val="24"/>
          </w:rPr>
          <w:t>1</w:t>
        </w:r>
        <w:r w:rsidR="00975FFA" w:rsidRPr="001813D8">
          <w:rPr>
            <w:rFonts w:ascii="Times New Roman" w:hAnsi="Times New Roman" w:cs="Times New Roman"/>
            <w:noProof/>
            <w:sz w:val="24"/>
            <w:szCs w:val="24"/>
          </w:rPr>
          <w:fldChar w:fldCharType="end"/>
        </w:r>
      </w:sdtContent>
    </w:sdt>
  </w:p>
  <w:p w:rsidR="001813D8" w:rsidRDefault="001813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B512B"/>
    <w:multiLevelType w:val="hybridMultilevel"/>
    <w:tmpl w:val="77927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5079AB"/>
    <w:multiLevelType w:val="hybridMultilevel"/>
    <w:tmpl w:val="2542A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43387C"/>
    <w:multiLevelType w:val="hybridMultilevel"/>
    <w:tmpl w:val="217AAD06"/>
    <w:lvl w:ilvl="0" w:tplc="FE2ED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4258"/>
    <w:rsid w:val="000073BA"/>
    <w:rsid w:val="000134BD"/>
    <w:rsid w:val="00020F52"/>
    <w:rsid w:val="00057F86"/>
    <w:rsid w:val="00066B4C"/>
    <w:rsid w:val="000B76FA"/>
    <w:rsid w:val="000D7DF3"/>
    <w:rsid w:val="00112243"/>
    <w:rsid w:val="00152102"/>
    <w:rsid w:val="00161333"/>
    <w:rsid w:val="001813D8"/>
    <w:rsid w:val="00183251"/>
    <w:rsid w:val="001B369D"/>
    <w:rsid w:val="001B72FD"/>
    <w:rsid w:val="001E415D"/>
    <w:rsid w:val="001F1D58"/>
    <w:rsid w:val="00210920"/>
    <w:rsid w:val="00215ED3"/>
    <w:rsid w:val="0021779E"/>
    <w:rsid w:val="00220B66"/>
    <w:rsid w:val="00235960"/>
    <w:rsid w:val="00250A0F"/>
    <w:rsid w:val="00256036"/>
    <w:rsid w:val="00262196"/>
    <w:rsid w:val="00276863"/>
    <w:rsid w:val="002A3C46"/>
    <w:rsid w:val="002B3E04"/>
    <w:rsid w:val="002C05E4"/>
    <w:rsid w:val="002C1DDE"/>
    <w:rsid w:val="002C70D0"/>
    <w:rsid w:val="002C75FF"/>
    <w:rsid w:val="002D215A"/>
    <w:rsid w:val="002D3284"/>
    <w:rsid w:val="002F45CB"/>
    <w:rsid w:val="00303A72"/>
    <w:rsid w:val="00315166"/>
    <w:rsid w:val="003624DA"/>
    <w:rsid w:val="00362964"/>
    <w:rsid w:val="00370BDF"/>
    <w:rsid w:val="00386300"/>
    <w:rsid w:val="003A07C3"/>
    <w:rsid w:val="003A5CAB"/>
    <w:rsid w:val="003B062D"/>
    <w:rsid w:val="003B1365"/>
    <w:rsid w:val="003D37B5"/>
    <w:rsid w:val="003D4A7B"/>
    <w:rsid w:val="003D7A5A"/>
    <w:rsid w:val="003E4E4F"/>
    <w:rsid w:val="003F7D66"/>
    <w:rsid w:val="0040379E"/>
    <w:rsid w:val="0042550F"/>
    <w:rsid w:val="00444096"/>
    <w:rsid w:val="00454329"/>
    <w:rsid w:val="00460425"/>
    <w:rsid w:val="00461036"/>
    <w:rsid w:val="004658F7"/>
    <w:rsid w:val="00483531"/>
    <w:rsid w:val="004861D4"/>
    <w:rsid w:val="0049367D"/>
    <w:rsid w:val="004B7C47"/>
    <w:rsid w:val="004C674B"/>
    <w:rsid w:val="004E7642"/>
    <w:rsid w:val="00515A87"/>
    <w:rsid w:val="00516166"/>
    <w:rsid w:val="00521AB2"/>
    <w:rsid w:val="0052439A"/>
    <w:rsid w:val="00537825"/>
    <w:rsid w:val="005441B4"/>
    <w:rsid w:val="00587E3D"/>
    <w:rsid w:val="0059519B"/>
    <w:rsid w:val="00595906"/>
    <w:rsid w:val="005A1206"/>
    <w:rsid w:val="005A50EA"/>
    <w:rsid w:val="005B7D75"/>
    <w:rsid w:val="005C02C2"/>
    <w:rsid w:val="005D5899"/>
    <w:rsid w:val="005E0AC8"/>
    <w:rsid w:val="005E1B4A"/>
    <w:rsid w:val="005F6F29"/>
    <w:rsid w:val="0061095A"/>
    <w:rsid w:val="00624568"/>
    <w:rsid w:val="006360C8"/>
    <w:rsid w:val="00640114"/>
    <w:rsid w:val="0064157C"/>
    <w:rsid w:val="006444CD"/>
    <w:rsid w:val="0065021F"/>
    <w:rsid w:val="00666F39"/>
    <w:rsid w:val="00695DEC"/>
    <w:rsid w:val="006A5D4D"/>
    <w:rsid w:val="006A66CD"/>
    <w:rsid w:val="006B30FA"/>
    <w:rsid w:val="006B36C7"/>
    <w:rsid w:val="006C1F48"/>
    <w:rsid w:val="006D6AF4"/>
    <w:rsid w:val="006D7629"/>
    <w:rsid w:val="00706278"/>
    <w:rsid w:val="0072062F"/>
    <w:rsid w:val="00723531"/>
    <w:rsid w:val="00726881"/>
    <w:rsid w:val="007276A0"/>
    <w:rsid w:val="00765EBA"/>
    <w:rsid w:val="00782A6E"/>
    <w:rsid w:val="007A173C"/>
    <w:rsid w:val="007B37D4"/>
    <w:rsid w:val="007B7833"/>
    <w:rsid w:val="007C28BB"/>
    <w:rsid w:val="00804DC3"/>
    <w:rsid w:val="008109B6"/>
    <w:rsid w:val="00814B42"/>
    <w:rsid w:val="00840D6D"/>
    <w:rsid w:val="0085546C"/>
    <w:rsid w:val="008558D4"/>
    <w:rsid w:val="008626F5"/>
    <w:rsid w:val="00875FED"/>
    <w:rsid w:val="00877C82"/>
    <w:rsid w:val="00892782"/>
    <w:rsid w:val="008A0046"/>
    <w:rsid w:val="008A6CB6"/>
    <w:rsid w:val="008B6FA2"/>
    <w:rsid w:val="008D5973"/>
    <w:rsid w:val="008D7D52"/>
    <w:rsid w:val="008E3649"/>
    <w:rsid w:val="008E6966"/>
    <w:rsid w:val="008E6BA2"/>
    <w:rsid w:val="00940D20"/>
    <w:rsid w:val="00942526"/>
    <w:rsid w:val="00966D06"/>
    <w:rsid w:val="00970DDF"/>
    <w:rsid w:val="009741D1"/>
    <w:rsid w:val="0097442D"/>
    <w:rsid w:val="00975FFA"/>
    <w:rsid w:val="0098079C"/>
    <w:rsid w:val="009825A3"/>
    <w:rsid w:val="00996E05"/>
    <w:rsid w:val="009A5962"/>
    <w:rsid w:val="009B1B32"/>
    <w:rsid w:val="009B22CB"/>
    <w:rsid w:val="009B5E67"/>
    <w:rsid w:val="009D7880"/>
    <w:rsid w:val="009E4139"/>
    <w:rsid w:val="00A01662"/>
    <w:rsid w:val="00A06F6A"/>
    <w:rsid w:val="00A21530"/>
    <w:rsid w:val="00A565FD"/>
    <w:rsid w:val="00A6255E"/>
    <w:rsid w:val="00A63346"/>
    <w:rsid w:val="00A81320"/>
    <w:rsid w:val="00A82DE5"/>
    <w:rsid w:val="00A91E4B"/>
    <w:rsid w:val="00AB555B"/>
    <w:rsid w:val="00AE60AC"/>
    <w:rsid w:val="00AE7018"/>
    <w:rsid w:val="00AF29DC"/>
    <w:rsid w:val="00AF577E"/>
    <w:rsid w:val="00B031C3"/>
    <w:rsid w:val="00B06B09"/>
    <w:rsid w:val="00B07B74"/>
    <w:rsid w:val="00B24D19"/>
    <w:rsid w:val="00B265F7"/>
    <w:rsid w:val="00B27E80"/>
    <w:rsid w:val="00B413EB"/>
    <w:rsid w:val="00B45289"/>
    <w:rsid w:val="00B46669"/>
    <w:rsid w:val="00B51B74"/>
    <w:rsid w:val="00B90FC0"/>
    <w:rsid w:val="00B93D5A"/>
    <w:rsid w:val="00C20DEB"/>
    <w:rsid w:val="00C21C56"/>
    <w:rsid w:val="00C3272B"/>
    <w:rsid w:val="00C33DF2"/>
    <w:rsid w:val="00C41FBC"/>
    <w:rsid w:val="00C44122"/>
    <w:rsid w:val="00C61593"/>
    <w:rsid w:val="00C65065"/>
    <w:rsid w:val="00C833D2"/>
    <w:rsid w:val="00C86F25"/>
    <w:rsid w:val="00C94B47"/>
    <w:rsid w:val="00C9606A"/>
    <w:rsid w:val="00CA15AB"/>
    <w:rsid w:val="00CA45F1"/>
    <w:rsid w:val="00CB1281"/>
    <w:rsid w:val="00CB4066"/>
    <w:rsid w:val="00CD1D9B"/>
    <w:rsid w:val="00D025F9"/>
    <w:rsid w:val="00D05F88"/>
    <w:rsid w:val="00D06F4C"/>
    <w:rsid w:val="00D25073"/>
    <w:rsid w:val="00D31234"/>
    <w:rsid w:val="00D37242"/>
    <w:rsid w:val="00D55437"/>
    <w:rsid w:val="00D65D6C"/>
    <w:rsid w:val="00D72819"/>
    <w:rsid w:val="00D8409F"/>
    <w:rsid w:val="00DB1A4D"/>
    <w:rsid w:val="00DB3B4B"/>
    <w:rsid w:val="00DB659C"/>
    <w:rsid w:val="00DC564E"/>
    <w:rsid w:val="00DD71B5"/>
    <w:rsid w:val="00DE19F5"/>
    <w:rsid w:val="00DE4258"/>
    <w:rsid w:val="00E00288"/>
    <w:rsid w:val="00E01ADC"/>
    <w:rsid w:val="00E067E5"/>
    <w:rsid w:val="00E44CDD"/>
    <w:rsid w:val="00E5279D"/>
    <w:rsid w:val="00E57851"/>
    <w:rsid w:val="00E7563D"/>
    <w:rsid w:val="00E77236"/>
    <w:rsid w:val="00E83149"/>
    <w:rsid w:val="00E90102"/>
    <w:rsid w:val="00EA37E3"/>
    <w:rsid w:val="00EB0C9C"/>
    <w:rsid w:val="00EC3AA1"/>
    <w:rsid w:val="00EE3824"/>
    <w:rsid w:val="00EF6E31"/>
    <w:rsid w:val="00EF7400"/>
    <w:rsid w:val="00F17DF9"/>
    <w:rsid w:val="00F42D65"/>
    <w:rsid w:val="00F6375A"/>
    <w:rsid w:val="00F655F4"/>
    <w:rsid w:val="00F65D75"/>
    <w:rsid w:val="00F65D87"/>
    <w:rsid w:val="00F838FF"/>
    <w:rsid w:val="00F857A6"/>
    <w:rsid w:val="00F953D9"/>
    <w:rsid w:val="00FC64E3"/>
    <w:rsid w:val="00FF147F"/>
    <w:rsid w:val="00FF4DA0"/>
    <w:rsid w:val="00FF79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0D0"/>
  </w:style>
  <w:style w:type="paragraph" w:styleId="Heading2">
    <w:name w:val="heading 2"/>
    <w:basedOn w:val="Normal"/>
    <w:next w:val="Normal"/>
    <w:link w:val="Heading2Char"/>
    <w:qFormat/>
    <w:rsid w:val="00B46669"/>
    <w:pPr>
      <w:keepNext/>
      <w:suppressAutoHyphens/>
      <w:spacing w:before="240" w:after="60" w:line="240" w:lineRule="auto"/>
      <w:outlineLvl w:val="1"/>
    </w:pPr>
    <w:rPr>
      <w:rFonts w:ascii="Times New Roman" w:eastAsia="Times New Roman" w:hAnsi="Times New Roman" w:cs="Arial"/>
      <w:b/>
      <w:bCs/>
      <w:iCs/>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258"/>
    <w:pPr>
      <w:spacing w:after="0" w:line="240" w:lineRule="auto"/>
      <w:ind w:left="720"/>
      <w:contextualSpacing/>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46669"/>
    <w:rPr>
      <w:rFonts w:ascii="Times New Roman" w:eastAsia="Times New Roman" w:hAnsi="Times New Roman" w:cs="Arial"/>
      <w:b/>
      <w:bCs/>
      <w:iCs/>
      <w:sz w:val="24"/>
      <w:szCs w:val="28"/>
      <w:lang w:eastAsia="ar-SA"/>
    </w:rPr>
  </w:style>
  <w:style w:type="paragraph" w:styleId="Caption">
    <w:name w:val="caption"/>
    <w:basedOn w:val="Normal"/>
    <w:next w:val="Normal"/>
    <w:uiPriority w:val="35"/>
    <w:unhideWhenUsed/>
    <w:qFormat/>
    <w:rsid w:val="00B46669"/>
    <w:pPr>
      <w:spacing w:line="240" w:lineRule="auto"/>
    </w:pPr>
    <w:rPr>
      <w:rFonts w:eastAsiaTheme="minorEastAsia"/>
      <w:b/>
      <w:bCs/>
      <w:color w:val="4F81BD" w:themeColor="accent1"/>
      <w:sz w:val="18"/>
      <w:szCs w:val="18"/>
    </w:rPr>
  </w:style>
  <w:style w:type="paragraph" w:styleId="BalloonText">
    <w:name w:val="Balloon Text"/>
    <w:basedOn w:val="Normal"/>
    <w:link w:val="BalloonTextChar"/>
    <w:uiPriority w:val="99"/>
    <w:semiHidden/>
    <w:unhideWhenUsed/>
    <w:rsid w:val="00B46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669"/>
    <w:rPr>
      <w:rFonts w:ascii="Tahoma" w:hAnsi="Tahoma" w:cs="Tahoma"/>
      <w:sz w:val="16"/>
      <w:szCs w:val="16"/>
    </w:rPr>
  </w:style>
  <w:style w:type="paragraph" w:styleId="Header">
    <w:name w:val="header"/>
    <w:basedOn w:val="Normal"/>
    <w:link w:val="HeaderChar"/>
    <w:uiPriority w:val="99"/>
    <w:unhideWhenUsed/>
    <w:rsid w:val="00181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3D8"/>
  </w:style>
  <w:style w:type="paragraph" w:styleId="Footer">
    <w:name w:val="footer"/>
    <w:basedOn w:val="Normal"/>
    <w:link w:val="FooterChar"/>
    <w:uiPriority w:val="99"/>
    <w:unhideWhenUsed/>
    <w:rsid w:val="00181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3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B46669"/>
    <w:pPr>
      <w:keepNext/>
      <w:suppressAutoHyphens/>
      <w:spacing w:before="240" w:after="60" w:line="240" w:lineRule="auto"/>
      <w:outlineLvl w:val="1"/>
    </w:pPr>
    <w:rPr>
      <w:rFonts w:ascii="Times New Roman" w:eastAsia="Times New Roman" w:hAnsi="Times New Roman" w:cs="Arial"/>
      <w:b/>
      <w:bCs/>
      <w:iCs/>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258"/>
    <w:pPr>
      <w:spacing w:after="0" w:line="240" w:lineRule="auto"/>
      <w:ind w:left="720"/>
      <w:contextualSpacing/>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46669"/>
    <w:rPr>
      <w:rFonts w:ascii="Times New Roman" w:eastAsia="Times New Roman" w:hAnsi="Times New Roman" w:cs="Arial"/>
      <w:b/>
      <w:bCs/>
      <w:iCs/>
      <w:sz w:val="24"/>
      <w:szCs w:val="28"/>
      <w:lang w:eastAsia="ar-SA"/>
    </w:rPr>
  </w:style>
  <w:style w:type="paragraph" w:styleId="Caption">
    <w:name w:val="caption"/>
    <w:basedOn w:val="Normal"/>
    <w:next w:val="Normal"/>
    <w:uiPriority w:val="35"/>
    <w:unhideWhenUsed/>
    <w:qFormat/>
    <w:rsid w:val="00B46669"/>
    <w:pPr>
      <w:spacing w:line="240" w:lineRule="auto"/>
    </w:pPr>
    <w:rPr>
      <w:rFonts w:eastAsiaTheme="minorEastAsia"/>
      <w:b/>
      <w:bCs/>
      <w:color w:val="4F81BD" w:themeColor="accent1"/>
      <w:sz w:val="18"/>
      <w:szCs w:val="18"/>
    </w:rPr>
  </w:style>
  <w:style w:type="paragraph" w:styleId="BalloonText">
    <w:name w:val="Balloon Text"/>
    <w:basedOn w:val="Normal"/>
    <w:link w:val="BalloonTextChar"/>
    <w:uiPriority w:val="99"/>
    <w:semiHidden/>
    <w:unhideWhenUsed/>
    <w:rsid w:val="00B46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669"/>
    <w:rPr>
      <w:rFonts w:ascii="Tahoma" w:hAnsi="Tahoma" w:cs="Tahoma"/>
      <w:sz w:val="16"/>
      <w:szCs w:val="16"/>
    </w:rPr>
  </w:style>
  <w:style w:type="paragraph" w:styleId="Header">
    <w:name w:val="header"/>
    <w:basedOn w:val="Normal"/>
    <w:link w:val="HeaderChar"/>
    <w:uiPriority w:val="99"/>
    <w:unhideWhenUsed/>
    <w:rsid w:val="00181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3D8"/>
  </w:style>
  <w:style w:type="paragraph" w:styleId="Footer">
    <w:name w:val="footer"/>
    <w:basedOn w:val="Normal"/>
    <w:link w:val="FooterChar"/>
    <w:uiPriority w:val="99"/>
    <w:unhideWhenUsed/>
    <w:rsid w:val="00181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3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2.png"/><Relationship Id="rId18"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QuickStyle" Target="diagrams/quickStyle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D04200-EDC4-4B48-9453-EE369DAB9BD9}" type="doc">
      <dgm:prSet loTypeId="urn:microsoft.com/office/officeart/2005/8/layout/pyramid2" loCatId="pyramid" qsTypeId="urn:microsoft.com/office/officeart/2005/8/quickstyle/simple3" qsCatId="simple" csTypeId="urn:microsoft.com/office/officeart/2005/8/colors/accent0_1" csCatId="mainScheme" phldr="1"/>
      <dgm:spPr/>
    </dgm:pt>
    <dgm:pt modelId="{93794B3B-CEE3-4E80-8D89-D0EB3002496C}">
      <dgm:prSet phldrT="[Text]" custT="1"/>
      <dgm:spPr/>
      <dgm:t>
        <a:bodyPr/>
        <a:lstStyle/>
        <a:p>
          <a:r>
            <a:rPr lang="en-US" sz="1200">
              <a:latin typeface="Times New Roman" panose="02020603050405020304" pitchFamily="18" charset="0"/>
              <a:cs typeface="Times New Roman" panose="02020603050405020304" pitchFamily="18" charset="0"/>
            </a:rPr>
            <a:t>Estalish a personal relationship with your customers </a:t>
          </a:r>
        </a:p>
      </dgm:t>
    </dgm:pt>
    <dgm:pt modelId="{B7F324E0-4116-4442-BCF4-A40E00F9D77E}" type="parTrans" cxnId="{E35DEC1B-D547-4A93-8842-44A813D81835}">
      <dgm:prSet/>
      <dgm:spPr/>
      <dgm:t>
        <a:bodyPr/>
        <a:lstStyle/>
        <a:p>
          <a:endParaRPr lang="en-US">
            <a:latin typeface="Times New Roman" panose="02020603050405020304" pitchFamily="18" charset="0"/>
            <a:cs typeface="Times New Roman" panose="02020603050405020304" pitchFamily="18" charset="0"/>
          </a:endParaRPr>
        </a:p>
      </dgm:t>
    </dgm:pt>
    <dgm:pt modelId="{4EFED61F-BB0A-489B-AE92-457664BAF32D}" type="sibTrans" cxnId="{E35DEC1B-D547-4A93-8842-44A813D81835}">
      <dgm:prSet/>
      <dgm:spPr/>
      <dgm:t>
        <a:bodyPr/>
        <a:lstStyle/>
        <a:p>
          <a:endParaRPr lang="en-US">
            <a:latin typeface="Times New Roman" panose="02020603050405020304" pitchFamily="18" charset="0"/>
            <a:cs typeface="Times New Roman" panose="02020603050405020304" pitchFamily="18" charset="0"/>
          </a:endParaRPr>
        </a:p>
      </dgm:t>
    </dgm:pt>
    <dgm:pt modelId="{C22DB1AF-76F1-420A-97E3-2878F99F15D7}">
      <dgm:prSet phldrT="[Text]" custT="1"/>
      <dgm:spPr/>
      <dgm:t>
        <a:bodyPr/>
        <a:lstStyle/>
        <a:p>
          <a:r>
            <a:rPr lang="en-US" sz="1200">
              <a:latin typeface="Times New Roman" panose="02020603050405020304" pitchFamily="18" charset="0"/>
              <a:cs typeface="Times New Roman" panose="02020603050405020304" pitchFamily="18" charset="0"/>
            </a:rPr>
            <a:t>Partner your customers</a:t>
          </a:r>
        </a:p>
      </dgm:t>
    </dgm:pt>
    <dgm:pt modelId="{28937277-EA3A-430C-BC7F-DB8B30EC3A78}" type="parTrans" cxnId="{5B4901DC-1554-4BA6-AF96-F8BF9856CA29}">
      <dgm:prSet/>
      <dgm:spPr/>
      <dgm:t>
        <a:bodyPr/>
        <a:lstStyle/>
        <a:p>
          <a:endParaRPr lang="en-US">
            <a:latin typeface="Times New Roman" panose="02020603050405020304" pitchFamily="18" charset="0"/>
            <a:cs typeface="Times New Roman" panose="02020603050405020304" pitchFamily="18" charset="0"/>
          </a:endParaRPr>
        </a:p>
      </dgm:t>
    </dgm:pt>
    <dgm:pt modelId="{04E5B225-0371-4AFD-8597-E7AB3D266726}" type="sibTrans" cxnId="{5B4901DC-1554-4BA6-AF96-F8BF9856CA29}">
      <dgm:prSet/>
      <dgm:spPr/>
      <dgm:t>
        <a:bodyPr/>
        <a:lstStyle/>
        <a:p>
          <a:endParaRPr lang="en-US">
            <a:latin typeface="Times New Roman" panose="02020603050405020304" pitchFamily="18" charset="0"/>
            <a:cs typeface="Times New Roman" panose="02020603050405020304" pitchFamily="18" charset="0"/>
          </a:endParaRPr>
        </a:p>
      </dgm:t>
    </dgm:pt>
    <dgm:pt modelId="{AA22B36F-63E2-4FB3-9C71-4387B7B9A478}">
      <dgm:prSet phldrT="[Text]" custT="1"/>
      <dgm:spPr/>
      <dgm:t>
        <a:bodyPr/>
        <a:lstStyle/>
        <a:p>
          <a:r>
            <a:rPr lang="en-US" sz="1200">
              <a:latin typeface="Times New Roman" panose="02020603050405020304" pitchFamily="18" charset="0"/>
              <a:cs typeface="Times New Roman" panose="02020603050405020304" pitchFamily="18" charset="0"/>
            </a:rPr>
            <a:t>Exceed customer expectations</a:t>
          </a:r>
        </a:p>
      </dgm:t>
    </dgm:pt>
    <dgm:pt modelId="{5DE69220-3FC6-42EC-8993-95BA811A8914}" type="parTrans" cxnId="{5782D410-09B1-456D-8687-4C3CF30ADD68}">
      <dgm:prSet/>
      <dgm:spPr/>
      <dgm:t>
        <a:bodyPr/>
        <a:lstStyle/>
        <a:p>
          <a:endParaRPr lang="en-US">
            <a:latin typeface="Times New Roman" panose="02020603050405020304" pitchFamily="18" charset="0"/>
            <a:cs typeface="Times New Roman" panose="02020603050405020304" pitchFamily="18" charset="0"/>
          </a:endParaRPr>
        </a:p>
      </dgm:t>
    </dgm:pt>
    <dgm:pt modelId="{F535B621-345E-4328-8F05-311CF152AA5A}" type="sibTrans" cxnId="{5782D410-09B1-456D-8687-4C3CF30ADD68}">
      <dgm:prSet/>
      <dgm:spPr/>
      <dgm:t>
        <a:bodyPr/>
        <a:lstStyle/>
        <a:p>
          <a:endParaRPr lang="en-US">
            <a:latin typeface="Times New Roman" panose="02020603050405020304" pitchFamily="18" charset="0"/>
            <a:cs typeface="Times New Roman" panose="02020603050405020304" pitchFamily="18" charset="0"/>
          </a:endParaRPr>
        </a:p>
      </dgm:t>
    </dgm:pt>
    <dgm:pt modelId="{9DFFEA11-7D51-42A1-8F56-C1943CA6AD01}">
      <dgm:prSet phldrT="[Text]" custT="1"/>
      <dgm:spPr/>
      <dgm:t>
        <a:bodyPr/>
        <a:lstStyle/>
        <a:p>
          <a:r>
            <a:rPr lang="en-US" sz="1200">
              <a:latin typeface="Times New Roman" panose="02020603050405020304" pitchFamily="18" charset="0"/>
              <a:cs typeface="Times New Roman" panose="02020603050405020304" pitchFamily="18" charset="0"/>
            </a:rPr>
            <a:t>Meet customer expectations</a:t>
          </a:r>
        </a:p>
      </dgm:t>
    </dgm:pt>
    <dgm:pt modelId="{A2F195A4-44A2-475F-927F-76CE563932CF}" type="parTrans" cxnId="{0B9F9596-B784-4CB6-85F9-CAAFBF03B469}">
      <dgm:prSet/>
      <dgm:spPr/>
      <dgm:t>
        <a:bodyPr/>
        <a:lstStyle/>
        <a:p>
          <a:endParaRPr lang="en-US">
            <a:latin typeface="Times New Roman" panose="02020603050405020304" pitchFamily="18" charset="0"/>
            <a:cs typeface="Times New Roman" panose="02020603050405020304" pitchFamily="18" charset="0"/>
          </a:endParaRPr>
        </a:p>
      </dgm:t>
    </dgm:pt>
    <dgm:pt modelId="{A94D7D36-960A-4D20-BDE3-7873D960B98E}" type="sibTrans" cxnId="{0B9F9596-B784-4CB6-85F9-CAAFBF03B469}">
      <dgm:prSet/>
      <dgm:spPr/>
      <dgm:t>
        <a:bodyPr/>
        <a:lstStyle/>
        <a:p>
          <a:endParaRPr lang="en-US">
            <a:latin typeface="Times New Roman" panose="02020603050405020304" pitchFamily="18" charset="0"/>
            <a:cs typeface="Times New Roman" panose="02020603050405020304" pitchFamily="18" charset="0"/>
          </a:endParaRPr>
        </a:p>
      </dgm:t>
    </dgm:pt>
    <dgm:pt modelId="{5C6B3561-4B5A-4EA7-9022-3917F9697777}" type="pres">
      <dgm:prSet presAssocID="{DCD04200-EDC4-4B48-9453-EE369DAB9BD9}" presName="compositeShape" presStyleCnt="0">
        <dgm:presLayoutVars>
          <dgm:dir/>
          <dgm:resizeHandles/>
        </dgm:presLayoutVars>
      </dgm:prSet>
      <dgm:spPr/>
    </dgm:pt>
    <dgm:pt modelId="{75452DE2-3294-46A1-A265-E86F225A1F5B}" type="pres">
      <dgm:prSet presAssocID="{DCD04200-EDC4-4B48-9453-EE369DAB9BD9}" presName="pyramid" presStyleLbl="node1" presStyleIdx="0" presStyleCnt="1" custScaleX="95194" custScaleY="81267" custLinFactNeighborX="-275" custLinFactNeighborY="3581"/>
      <dgm:spPr/>
    </dgm:pt>
    <dgm:pt modelId="{DBB22044-366D-4A46-823E-BD8B89530560}" type="pres">
      <dgm:prSet presAssocID="{DCD04200-EDC4-4B48-9453-EE369DAB9BD9}" presName="theList" presStyleCnt="0"/>
      <dgm:spPr/>
    </dgm:pt>
    <dgm:pt modelId="{96263A6D-E202-4DEF-AD21-7FE0110A46F4}" type="pres">
      <dgm:prSet presAssocID="{93794B3B-CEE3-4E80-8D89-D0EB3002496C}" presName="aNode" presStyleLbl="fgAcc1" presStyleIdx="0" presStyleCnt="4">
        <dgm:presLayoutVars>
          <dgm:bulletEnabled val="1"/>
        </dgm:presLayoutVars>
      </dgm:prSet>
      <dgm:spPr/>
      <dgm:t>
        <a:bodyPr/>
        <a:lstStyle/>
        <a:p>
          <a:endParaRPr lang="en-US"/>
        </a:p>
      </dgm:t>
    </dgm:pt>
    <dgm:pt modelId="{5FC2D4B3-5FF8-4F2D-9272-7101A5A08F73}" type="pres">
      <dgm:prSet presAssocID="{93794B3B-CEE3-4E80-8D89-D0EB3002496C}" presName="aSpace" presStyleCnt="0"/>
      <dgm:spPr/>
    </dgm:pt>
    <dgm:pt modelId="{33D14311-E84D-4724-93C3-5289EBFD0041}" type="pres">
      <dgm:prSet presAssocID="{C22DB1AF-76F1-420A-97E3-2878F99F15D7}" presName="aNode" presStyleLbl="fgAcc1" presStyleIdx="1" presStyleCnt="4">
        <dgm:presLayoutVars>
          <dgm:bulletEnabled val="1"/>
        </dgm:presLayoutVars>
      </dgm:prSet>
      <dgm:spPr/>
      <dgm:t>
        <a:bodyPr/>
        <a:lstStyle/>
        <a:p>
          <a:endParaRPr lang="en-US"/>
        </a:p>
      </dgm:t>
    </dgm:pt>
    <dgm:pt modelId="{C48A5F15-C028-4F65-8F99-9388714C7053}" type="pres">
      <dgm:prSet presAssocID="{C22DB1AF-76F1-420A-97E3-2878F99F15D7}" presName="aSpace" presStyleCnt="0"/>
      <dgm:spPr/>
    </dgm:pt>
    <dgm:pt modelId="{FC5C864E-8B60-4B62-B425-E48E68661829}" type="pres">
      <dgm:prSet presAssocID="{AA22B36F-63E2-4FB3-9C71-4387B7B9A478}" presName="aNode" presStyleLbl="fgAcc1" presStyleIdx="2" presStyleCnt="4">
        <dgm:presLayoutVars>
          <dgm:bulletEnabled val="1"/>
        </dgm:presLayoutVars>
      </dgm:prSet>
      <dgm:spPr/>
      <dgm:t>
        <a:bodyPr/>
        <a:lstStyle/>
        <a:p>
          <a:endParaRPr lang="en-US"/>
        </a:p>
      </dgm:t>
    </dgm:pt>
    <dgm:pt modelId="{180C1CEB-029E-4575-BF45-DEDA342BE585}" type="pres">
      <dgm:prSet presAssocID="{AA22B36F-63E2-4FB3-9C71-4387B7B9A478}" presName="aSpace" presStyleCnt="0"/>
      <dgm:spPr/>
    </dgm:pt>
    <dgm:pt modelId="{C4BD8186-A1CF-48CF-8545-12C1D04EE217}" type="pres">
      <dgm:prSet presAssocID="{9DFFEA11-7D51-42A1-8F56-C1943CA6AD01}" presName="aNode" presStyleLbl="fgAcc1" presStyleIdx="3" presStyleCnt="4">
        <dgm:presLayoutVars>
          <dgm:bulletEnabled val="1"/>
        </dgm:presLayoutVars>
      </dgm:prSet>
      <dgm:spPr/>
      <dgm:t>
        <a:bodyPr/>
        <a:lstStyle/>
        <a:p>
          <a:endParaRPr lang="en-US"/>
        </a:p>
      </dgm:t>
    </dgm:pt>
    <dgm:pt modelId="{19BBA5F6-48DF-4D2D-B2CA-13BFDE2E0AD8}" type="pres">
      <dgm:prSet presAssocID="{9DFFEA11-7D51-42A1-8F56-C1943CA6AD01}" presName="aSpace" presStyleCnt="0"/>
      <dgm:spPr/>
    </dgm:pt>
  </dgm:ptLst>
  <dgm:cxnLst>
    <dgm:cxn modelId="{F47F8580-91CB-4A14-BF09-1A528CAE4B93}" type="presOf" srcId="{C22DB1AF-76F1-420A-97E3-2878F99F15D7}" destId="{33D14311-E84D-4724-93C3-5289EBFD0041}" srcOrd="0" destOrd="0" presId="urn:microsoft.com/office/officeart/2005/8/layout/pyramid2"/>
    <dgm:cxn modelId="{0B9F9596-B784-4CB6-85F9-CAAFBF03B469}" srcId="{DCD04200-EDC4-4B48-9453-EE369DAB9BD9}" destId="{9DFFEA11-7D51-42A1-8F56-C1943CA6AD01}" srcOrd="3" destOrd="0" parTransId="{A2F195A4-44A2-475F-927F-76CE563932CF}" sibTransId="{A94D7D36-960A-4D20-BDE3-7873D960B98E}"/>
    <dgm:cxn modelId="{5B4901DC-1554-4BA6-AF96-F8BF9856CA29}" srcId="{DCD04200-EDC4-4B48-9453-EE369DAB9BD9}" destId="{C22DB1AF-76F1-420A-97E3-2878F99F15D7}" srcOrd="1" destOrd="0" parTransId="{28937277-EA3A-430C-BC7F-DB8B30EC3A78}" sibTransId="{04E5B225-0371-4AFD-8597-E7AB3D266726}"/>
    <dgm:cxn modelId="{5782D410-09B1-456D-8687-4C3CF30ADD68}" srcId="{DCD04200-EDC4-4B48-9453-EE369DAB9BD9}" destId="{AA22B36F-63E2-4FB3-9C71-4387B7B9A478}" srcOrd="2" destOrd="0" parTransId="{5DE69220-3FC6-42EC-8993-95BA811A8914}" sibTransId="{F535B621-345E-4328-8F05-311CF152AA5A}"/>
    <dgm:cxn modelId="{015F5F12-B367-47F8-BED6-3A6AC506FAF5}" type="presOf" srcId="{93794B3B-CEE3-4E80-8D89-D0EB3002496C}" destId="{96263A6D-E202-4DEF-AD21-7FE0110A46F4}" srcOrd="0" destOrd="0" presId="urn:microsoft.com/office/officeart/2005/8/layout/pyramid2"/>
    <dgm:cxn modelId="{6161F3D5-B7C8-413D-9B93-2C3676701C48}" type="presOf" srcId="{AA22B36F-63E2-4FB3-9C71-4387B7B9A478}" destId="{FC5C864E-8B60-4B62-B425-E48E68661829}" srcOrd="0" destOrd="0" presId="urn:microsoft.com/office/officeart/2005/8/layout/pyramid2"/>
    <dgm:cxn modelId="{E35DEC1B-D547-4A93-8842-44A813D81835}" srcId="{DCD04200-EDC4-4B48-9453-EE369DAB9BD9}" destId="{93794B3B-CEE3-4E80-8D89-D0EB3002496C}" srcOrd="0" destOrd="0" parTransId="{B7F324E0-4116-4442-BCF4-A40E00F9D77E}" sibTransId="{4EFED61F-BB0A-489B-AE92-457664BAF32D}"/>
    <dgm:cxn modelId="{E38D90F0-2E24-4722-8251-2F8D9D7D082A}" type="presOf" srcId="{DCD04200-EDC4-4B48-9453-EE369DAB9BD9}" destId="{5C6B3561-4B5A-4EA7-9022-3917F9697777}" srcOrd="0" destOrd="0" presId="urn:microsoft.com/office/officeart/2005/8/layout/pyramid2"/>
    <dgm:cxn modelId="{4B97273E-F31E-4398-8367-4A3309568D59}" type="presOf" srcId="{9DFFEA11-7D51-42A1-8F56-C1943CA6AD01}" destId="{C4BD8186-A1CF-48CF-8545-12C1D04EE217}" srcOrd="0" destOrd="0" presId="urn:microsoft.com/office/officeart/2005/8/layout/pyramid2"/>
    <dgm:cxn modelId="{9C4A1B61-A2D6-4007-8C89-9D01DF432FD6}" type="presParOf" srcId="{5C6B3561-4B5A-4EA7-9022-3917F9697777}" destId="{75452DE2-3294-46A1-A265-E86F225A1F5B}" srcOrd="0" destOrd="0" presId="urn:microsoft.com/office/officeart/2005/8/layout/pyramid2"/>
    <dgm:cxn modelId="{F1560BDF-1E5E-4CF2-98D0-173437CD497B}" type="presParOf" srcId="{5C6B3561-4B5A-4EA7-9022-3917F9697777}" destId="{DBB22044-366D-4A46-823E-BD8B89530560}" srcOrd="1" destOrd="0" presId="urn:microsoft.com/office/officeart/2005/8/layout/pyramid2"/>
    <dgm:cxn modelId="{990124A0-C48D-4EC3-B4A0-CDEB71BD68ED}" type="presParOf" srcId="{DBB22044-366D-4A46-823E-BD8B89530560}" destId="{96263A6D-E202-4DEF-AD21-7FE0110A46F4}" srcOrd="0" destOrd="0" presId="urn:microsoft.com/office/officeart/2005/8/layout/pyramid2"/>
    <dgm:cxn modelId="{8EC54A6D-5E51-4CDC-B4BA-7ECFBC1D41B2}" type="presParOf" srcId="{DBB22044-366D-4A46-823E-BD8B89530560}" destId="{5FC2D4B3-5FF8-4F2D-9272-7101A5A08F73}" srcOrd="1" destOrd="0" presId="urn:microsoft.com/office/officeart/2005/8/layout/pyramid2"/>
    <dgm:cxn modelId="{BB852D0B-2BE5-416A-9775-BDB7088E708F}" type="presParOf" srcId="{DBB22044-366D-4A46-823E-BD8B89530560}" destId="{33D14311-E84D-4724-93C3-5289EBFD0041}" srcOrd="2" destOrd="0" presId="urn:microsoft.com/office/officeart/2005/8/layout/pyramid2"/>
    <dgm:cxn modelId="{51E57680-9DCA-4D0C-A9B0-67703C8BED07}" type="presParOf" srcId="{DBB22044-366D-4A46-823E-BD8B89530560}" destId="{C48A5F15-C028-4F65-8F99-9388714C7053}" srcOrd="3" destOrd="0" presId="urn:microsoft.com/office/officeart/2005/8/layout/pyramid2"/>
    <dgm:cxn modelId="{72FAF315-B362-4295-A63E-16DB7374A773}" type="presParOf" srcId="{DBB22044-366D-4A46-823E-BD8B89530560}" destId="{FC5C864E-8B60-4B62-B425-E48E68661829}" srcOrd="4" destOrd="0" presId="urn:microsoft.com/office/officeart/2005/8/layout/pyramid2"/>
    <dgm:cxn modelId="{0C3C9CB5-DAD6-4393-A850-51464FB18554}" type="presParOf" srcId="{DBB22044-366D-4A46-823E-BD8B89530560}" destId="{180C1CEB-029E-4575-BF45-DEDA342BE585}" srcOrd="5" destOrd="0" presId="urn:microsoft.com/office/officeart/2005/8/layout/pyramid2"/>
    <dgm:cxn modelId="{549F265C-959E-47BA-A136-A947F106E599}" type="presParOf" srcId="{DBB22044-366D-4A46-823E-BD8B89530560}" destId="{C4BD8186-A1CF-48CF-8545-12C1D04EE217}" srcOrd="6" destOrd="0" presId="urn:microsoft.com/office/officeart/2005/8/layout/pyramid2"/>
    <dgm:cxn modelId="{DCD3914D-5803-4E91-AFF9-8D1F87C8BADB}" type="presParOf" srcId="{DBB22044-366D-4A46-823E-BD8B89530560}" destId="{19BBA5F6-48DF-4D2D-B2CA-13BFDE2E0AD8}" srcOrd="7" destOrd="0" presId="urn:microsoft.com/office/officeart/2005/8/layout/pyramid2"/>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452DE2-3294-46A1-A265-E86F225A1F5B}">
      <dsp:nvSpPr>
        <dsp:cNvPr id="0" name=""/>
        <dsp:cNvSpPr/>
      </dsp:nvSpPr>
      <dsp:spPr>
        <a:xfrm>
          <a:off x="787128" y="447669"/>
          <a:ext cx="3291403" cy="2809867"/>
        </a:xfrm>
        <a:prstGeom prst="triangl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6263A6D-E202-4DEF-AD21-7FE0110A46F4}">
      <dsp:nvSpPr>
        <dsp:cNvPr id="0" name=""/>
        <dsp:cNvSpPr/>
      </dsp:nvSpPr>
      <dsp:spPr>
        <a:xfrm>
          <a:off x="2442339" y="346095"/>
          <a:ext cx="2247423" cy="614529"/>
        </a:xfrm>
        <a:prstGeom prst="round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Estalish a personal relationship with your customers </a:t>
          </a:r>
        </a:p>
      </dsp:txBody>
      <dsp:txXfrm>
        <a:off x="2472338" y="376094"/>
        <a:ext cx="2187425" cy="554531"/>
      </dsp:txXfrm>
    </dsp:sp>
    <dsp:sp modelId="{33D14311-E84D-4724-93C3-5289EBFD0041}">
      <dsp:nvSpPr>
        <dsp:cNvPr id="0" name=""/>
        <dsp:cNvSpPr/>
      </dsp:nvSpPr>
      <dsp:spPr>
        <a:xfrm>
          <a:off x="2442339" y="1037441"/>
          <a:ext cx="2247423" cy="614529"/>
        </a:xfrm>
        <a:prstGeom prst="round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Partner your customers</a:t>
          </a:r>
        </a:p>
      </dsp:txBody>
      <dsp:txXfrm>
        <a:off x="2472338" y="1067440"/>
        <a:ext cx="2187425" cy="554531"/>
      </dsp:txXfrm>
    </dsp:sp>
    <dsp:sp modelId="{FC5C864E-8B60-4B62-B425-E48E68661829}">
      <dsp:nvSpPr>
        <dsp:cNvPr id="0" name=""/>
        <dsp:cNvSpPr/>
      </dsp:nvSpPr>
      <dsp:spPr>
        <a:xfrm>
          <a:off x="2442339" y="1728787"/>
          <a:ext cx="2247423" cy="614529"/>
        </a:xfrm>
        <a:prstGeom prst="round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Exceed customer expectations</a:t>
          </a:r>
        </a:p>
      </dsp:txBody>
      <dsp:txXfrm>
        <a:off x="2472338" y="1758786"/>
        <a:ext cx="2187425" cy="554531"/>
      </dsp:txXfrm>
    </dsp:sp>
    <dsp:sp modelId="{C4BD8186-A1CF-48CF-8545-12C1D04EE217}">
      <dsp:nvSpPr>
        <dsp:cNvPr id="0" name=""/>
        <dsp:cNvSpPr/>
      </dsp:nvSpPr>
      <dsp:spPr>
        <a:xfrm>
          <a:off x="2442339" y="2420133"/>
          <a:ext cx="2247423" cy="614529"/>
        </a:xfrm>
        <a:prstGeom prst="round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Meet customer expectations</a:t>
          </a:r>
        </a:p>
      </dsp:txBody>
      <dsp:txXfrm>
        <a:off x="2472338" y="2450132"/>
        <a:ext cx="2187425" cy="55453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Kee82</b:Tag>
    <b:SourceType>JournalArticle</b:SourceType>
    <b:Guid>{F511D601-968B-403D-924A-B5C7B83CCC08}</b:Guid>
    <b:Title>Decision analysis: an overview</b:Title>
    <b:JournalName>Operations Research</b:JournalName>
    <b:Year>1982</b:Year>
    <b:Pages>803-838</b:Pages>
    <b:Author>
      <b:Author>
        <b:NameList>
          <b:Person>
            <b:Last>Keeney</b:Last>
            <b:Middle>L</b:Middle>
            <b:First>R</b:First>
          </b:Person>
        </b:NameList>
      </b:Author>
    </b:Author>
    <b:RefOrder>15</b:RefOrder>
  </b:Source>
  <b:Source>
    <b:Tag>Gra81</b:Tag>
    <b:SourceType>JournalArticle</b:SourceType>
    <b:Guid>{D4AAD1D8-B2DA-4466-96F2-65CFF9F84812}</b:Guid>
    <b:Title>The role of perception of time in consumer research</b:Title>
    <b:JournalName>Journal of Consumer Research (7:4)</b:JournalName>
    <b:Year>1981</b:Year>
    <b:Pages>335-342</b:Pages>
    <b:Author>
      <b:Author>
        <b:NameList>
          <b:Person>
            <b:Last>Graham</b:Last>
            <b:Middle>J</b:Middle>
            <b:First>R</b:First>
          </b:Person>
        </b:NameList>
      </b:Author>
    </b:Author>
    <b:RefOrder>16</b:RefOrder>
  </b:Source>
  <b:Source>
    <b:Tag>Höl00</b:Tag>
    <b:SourceType>JournalArticle</b:SourceType>
    <b:Guid>{83ABCFE5-0905-4BBF-A1BE-C000592D9A01}</b:Guid>
    <b:Title>Web search behavior of Internet experts and newbies</b:Title>
    <b:JournalName>Computer networks</b:JournalName>
    <b:Year>2000</b:Year>
    <b:Pages>337-346</b:Pages>
    <b:Author>
      <b:Author>
        <b:NameList>
          <b:Person>
            <b:Last>Hölscher</b:Last>
            <b:First>C</b:First>
          </b:Person>
          <b:Person>
            <b:Last>Strube</b:Last>
            <b:First>G</b:First>
          </b:Person>
        </b:NameList>
      </b:Author>
    </b:Author>
    <b:RefOrder>17</b:RefOrder>
  </b:Source>
  <b:Source>
    <b:Tag>Bla01</b:Tag>
    <b:SourceType>Book</b:SourceType>
    <b:Guid>{D8CA043B-3B45-499B-896E-F65EAC846162}</b:Guid>
    <b:Title>Consumer behavior, 9th edition</b:Title>
    <b:Year>2001</b:Year>
    <b:City>USA</b:City>
    <b:Publisher>Harcourt College Publications</b:Publisher>
    <b:Author>
      <b:Author>
        <b:NameList>
          <b:Person>
            <b:Last>Blackwell</b:Last>
            <b:Middle>D</b:Middle>
            <b:First>R</b:First>
          </b:Person>
          <b:Person>
            <b:Last>Miniard</b:Last>
            <b:Middle>W</b:Middle>
            <b:First>P</b:First>
          </b:Person>
          <b:Person>
            <b:Last>Engel</b:Last>
            <b:Middle>F</b:Middle>
            <b:First>J</b:First>
          </b:Person>
        </b:NameList>
      </b:Author>
    </b:Author>
    <b:RefOrder>18</b:RefOrder>
  </b:Source>
  <b:Source>
    <b:Tag>Bet98</b:Tag>
    <b:SourceType>JournalArticle</b:SourceType>
    <b:Guid>{B3E8BCAF-2274-4E6D-BDA0-9E734852512F}</b:Guid>
    <b:Title>Constructive consumer choice processes</b:Title>
    <b:JournalName>Journal of Consumer Research (25:3)</b:JournalName>
    <b:Year>1998</b:Year>
    <b:Pages>187-217</b:Pages>
    <b:Author>
      <b:Author>
        <b:NameList>
          <b:Person>
            <b:Last>Bettman</b:Last>
            <b:Middle>R</b:Middle>
            <b:First>J</b:First>
          </b:Person>
          <b:Person>
            <b:Last>Luce</b:Last>
            <b:Middle>F</b:Middle>
            <b:First>M</b:First>
          </b:Person>
          <b:Person>
            <b:Last>Payne</b:Last>
            <b:Middle>W</b:Middle>
            <b:First>J</b:First>
          </b:Person>
        </b:NameList>
      </b:Author>
    </b:Author>
    <b:RefOrder>19</b:RefOrder>
  </b:Source>
  <b:Source>
    <b:Tag>Sha07</b:Tag>
    <b:SourceType>JournalArticle</b:SourceType>
    <b:Guid>{79F1CE47-64E3-4476-B067-3DF19DF43DF0}</b:Guid>
    <b:Title>Impact of the internet on consumer search behavior in the United States</b:Title>
    <b:Year>2007</b:Year>
    <b:JournalName>Journal of Media Business Studies, vol. 4 no.2</b:JournalName>
    <b:Pages>27-39</b:Pages>
    <b:Author>
      <b:Author>
        <b:NameList>
          <b:Person>
            <b:Last>Shaver</b:Last>
            <b:First>D</b:First>
          </b:Person>
        </b:NameList>
      </b:Author>
    </b:Author>
    <b:RefOrder>5</b:RefOrder>
  </b:Source>
  <b:Source>
    <b:Tag>Pet03</b:Tag>
    <b:SourceType>JournalArticle</b:SourceType>
    <b:Guid>{C71165E2-E601-4441-816D-A6D7C8485810}</b:Guid>
    <b:Title>Consumer information search behavior and the internet</b:Title>
    <b:Year>2003</b:Year>
    <b:JournalName>Psychology and marketing, Vol. 20 No. 2</b:JournalName>
    <b:Pages>99-121</b:Pages>
    <b:Author>
      <b:Author>
        <b:NameList>
          <b:Person>
            <b:Last>Peterson</b:Last>
            <b:Middle>R</b:Middle>
            <b:First>A</b:First>
          </b:Person>
          <b:Person>
            <b:Last>Merino</b:Last>
            <b:Middle>C</b:Middle>
            <b:First>M</b:First>
          </b:Person>
        </b:NameList>
      </b:Author>
    </b:Author>
    <b:RefOrder>20</b:RefOrder>
  </b:Source>
  <b:Source>
    <b:Tag>Tay74</b:Tag>
    <b:SourceType>JournalArticle</b:SourceType>
    <b:Guid>{A42A80A0-E774-4FB9-B9AC-E1E4D4773361}</b:Guid>
    <b:Title>The role of risk in consumer behaviour</b:Title>
    <b:Year>1974</b:Year>
    <b:JournalName>Journal of marketing Vol 38 No. 4</b:JournalName>
    <b:Pages>54-60</b:Pages>
    <b:Author>
      <b:Author>
        <b:NameList>
          <b:Person>
            <b:Last>Taylor</b:Last>
            <b:Middle>W</b:Middle>
            <b:First>J</b:First>
          </b:Person>
        </b:NameList>
      </b:Author>
    </b:Author>
    <b:RefOrder>21</b:RefOrder>
  </b:Source>
  <b:Source>
    <b:Tag>Oli07</b:Tag>
    <b:SourceType>Book</b:SourceType>
    <b:Guid>{E4FE79E9-4C44-4383-B58F-47BB5321C299}</b:Guid>
    <b:Title>Satisfaction: A Behavioral Perspective On The Consumer</b:Title>
    <b:Year>2007</b:Year>
    <b:Author>
      <b:Author>
        <b:NameList>
          <b:Person>
            <b:Last>Oliver</b:Last>
            <b:Middle>L</b:Middle>
            <b:First>R</b:First>
          </b:Person>
        </b:NameList>
      </b:Author>
    </b:Author>
    <b:City>New York</b:City>
    <b:Publisher>The McGraw-Hill Companies, Inc.</b:Publisher>
    <b:RefOrder>22</b:RefOrder>
  </b:Source>
  <b:Source>
    <b:Tag>Bet91</b:Tag>
    <b:SourceType>JournalArticle</b:SourceType>
    <b:Guid>{5195D00A-02DD-43CB-82E9-AF6DEE1E2CA5}</b:Guid>
    <b:Title>Consumer decision making</b:Title>
    <b:JournalName>Handbook of consumer behavior</b:JournalName>
    <b:Year>1991</b:Year>
    <b:Pages>50-84</b:Pages>
    <b:Author>
      <b:Author>
        <b:NameList>
          <b:Person>
            <b:Last>Bettman</b:Last>
            <b:Middle>R</b:Middle>
            <b:First>J</b:First>
          </b:Person>
          <b:Person>
            <b:Last>Johnson</b:Last>
            <b:Middle>J</b:Middle>
            <b:First>E</b:First>
          </b:Person>
          <b:Person>
            <b:Last>Payne</b:Last>
            <b:Middle>W</b:Middle>
            <b:First>j</b:First>
          </b:Person>
        </b:NameList>
      </b:Author>
    </b:Author>
    <b:RefOrder>4</b:RefOrder>
  </b:Source>
  <b:Source>
    <b:Tag>Mor94</b:Tag>
    <b:SourceType>JournalArticle</b:SourceType>
    <b:Guid>{7C4D1464-5D99-4B44-AB2C-E6A34178FE2F}</b:Guid>
    <b:Title>The Commitment-Tust Theory of Relationship Marketing</b:Title>
    <b:Year> 1994</b:Year>
    <b:JournalName>Journal of Marketing Vol 58</b:JournalName>
    <b:Pages>20-38</b:Pages>
    <b:Author>
      <b:Author>
        <b:NameList>
          <b:Person>
            <b:Last>Morgan</b:Last>
            <b:Middle>M</b:Middle>
            <b:First>Robert</b:First>
          </b:Person>
          <b:Person>
            <b:Last>Hunt</b:Last>
            <b:Middle>D</b:Middle>
            <b:First>Shelby</b:First>
          </b:Person>
        </b:NameList>
      </b:Author>
    </b:Author>
    <b:RefOrder>23</b:RefOrder>
  </b:Source>
  <b:Source>
    <b:Tag>Bun97</b:Tag>
    <b:SourceType>JournalArticle</b:SourceType>
    <b:Guid>{0C6E56E2-7D90-4A88-A1D0-7FA271A3CE9C}</b:Guid>
    <b:Title>Customer Motivations For Maintsining Relationships With Service Providers</b:Title>
    <b:JournalName>Journal Of Retailing Vol 73</b:JournalName>
    <b:Year>1997</b:Year>
    <b:Pages>15-37</b:Pages>
    <b:Author>
      <b:Author>
        <b:NameList>
          <b:Person>
            <b:Last>Bundapudi</b:Last>
            <b:First>Neeli</b:First>
          </b:Person>
          <b:Person>
            <b:Last>Berry</b:Last>
            <b:First>Leonard</b:First>
          </b:Person>
        </b:NameList>
      </b:Author>
    </b:Author>
    <b:RefOrder>24</b:RefOrder>
  </b:Source>
  <b:Source>
    <b:Tag>Lau06</b:Tag>
    <b:SourceType>JournalArticle</b:SourceType>
    <b:Guid>{85086586-22E5-4D2B-BC0E-7B38D75792EB}</b:Guid>
    <b:Title>Management Informarmation Sysstems: Managing The Digital Firms</b:Title>
    <b:JournalName>Prentice Hall</b:JournalName>
    <b:Year>2006</b:Year>
    <b:Author>
      <b:Author>
        <b:NameList>
          <b:Person>
            <b:Last>Laudon</b:Last>
            <b:Middle>C</b:Middle>
            <b:First>K</b:First>
          </b:Person>
          <b:Person>
            <b:Last>Laodon</b:Last>
            <b:Middle>P</b:Middle>
            <b:First>J</b:First>
          </b:Person>
        </b:NameList>
      </b:Author>
    </b:Author>
    <b:RefOrder>25</b:RefOrder>
  </b:Source>
  <b:Source>
    <b:Tag>Wil87</b:Tag>
    <b:SourceType>JournalArticle</b:SourceType>
    <b:Guid>{BDF4F18B-5B74-46C1-B712-C60FCD93E701}</b:Guid>
    <b:Title>Transaction cost economics: The comparative contracting perspective</b:Title>
    <b:JournalName>Journal of Economic Behavior &amp; Organization</b:JournalName>
    <b:Year>1985</b:Year>
    <b:Author>
      <b:Author>
        <b:NameList>
          <b:Person>
            <b:Last>Williamson</b:Last>
            <b:Middle>E</b:Middle>
            <b:First>O</b:First>
          </b:Person>
        </b:NameList>
      </b:Author>
    </b:Author>
    <b:RefOrder>26</b:RefOrder>
  </b:Source>
  <b:Source>
    <b:Tag>Gro08</b:Tag>
    <b:SourceType>JournalArticle</b:SourceType>
    <b:Guid>{C4C0390D-F63B-47D3-9A71-A4CB0B135309}</b:Guid>
    <b:Title>Service logic Revisited: Who Creates Value? And Who Co-Creates?</b:Title>
    <b:JournalName>European Business Review</b:JournalName>
    <b:Year>2008</b:Year>
    <b:Pages>112-118</b:Pages>
    <b:Author>
      <b:Author>
        <b:NameList>
          <b:Person>
            <b:Last>Gronroos</b:Last>
            <b:First>C</b:First>
          </b:Person>
        </b:NameList>
      </b:Author>
    </b:Author>
    <b:RefOrder>27</b:RefOrder>
  </b:Source>
  <b:Source>
    <b:Tag>Bet97</b:Tag>
    <b:SourceType>JournalArticle</b:SourceType>
    <b:Guid>{DFC17003-84A1-430E-807D-2657B567CADA}</b:Guid>
    <b:Title>Customer Voluntary Performance: Customers as Partners in Service Delivery</b:Title>
    <b:JournalName>Journal of Retailing</b:JournalName>
    <b:Year>1997</b:Year>
    <b:Pages>383-406</b:Pages>
    <b:Author>
      <b:Author>
        <b:NameList>
          <b:Person>
            <b:Last>Bettencourt</b:Last>
            <b:Middle>A</b:Middle>
            <b:First>L</b:First>
          </b:Person>
        </b:NameList>
      </b:Author>
    </b:Author>
    <b:RefOrder>28</b:RefOrder>
  </b:Source>
  <b:Source>
    <b:Tag>Lar91</b:Tag>
    <b:SourceType>JournalArticle</b:SourceType>
    <b:Guid>{5109223B-ED5F-405E-8CC1-FED439483C64}</b:Guid>
    <b:Title>Prescription for Waiting –in Line Blues:Entertain,Enlighten and Engage</b:Title>
    <b:Year>1991</b:Year>
    <b:JournalName>Sloan Management review,(winter)</b:JournalName>
    <b:Pages>44-55</b:Pages>
    <b:Author>
      <b:Author>
        <b:NameList>
          <b:Person>
            <b:Last>Larson</b:Last>
            <b:Middle>C</b:Middle>
            <b:First>R</b:First>
          </b:Person>
          <b:Person>
            <b:Last>Larson</b:Last>
            <b:Middle>M</b:Middle>
            <b:First>B</b:First>
          </b:Person>
          <b:Person>
            <b:Last>Katz </b:Last>
            <b:Middle>L</b:Middle>
            <b:First>K</b:First>
          </b:Person>
        </b:NameList>
      </b:Author>
    </b:Author>
    <b:RefOrder>29</b:RefOrder>
  </b:Source>
  <b:Source>
    <b:Tag>Hof95</b:Tag>
    <b:SourceType>JournalArticle</b:SourceType>
    <b:Guid>{F76B9805-9AFE-46C3-ABE2-445BD971004E}</b:Guid>
    <b:Title>Tracking Service Failure And Employee Recovery Efforts</b:Title>
    <b:Year>1995</b:Year>
    <b:JournalName>Journal On Service Market 9(2)</b:JournalName>
    <b:Pages>49-61</b:Pages>
    <b:Author>
      <b:Author>
        <b:NameList>
          <b:Person>
            <b:Last>Hoffman</b:Last>
            <b:Middle>D</b:Middle>
            <b:First>K</b:First>
          </b:Person>
          <b:Person>
            <b:Last>Kelly</b:Last>
            <b:Middle>W</b:Middle>
            <b:First>S</b:First>
          </b:Person>
          <b:Person>
            <b:Last>Rotasky</b:Last>
            <b:Middle>M</b:Middle>
            <b:First>H</b:First>
          </b:Person>
        </b:NameList>
      </b:Author>
    </b:Author>
    <b:RefOrder>30</b:RefOrder>
  </b:Source>
  <b:Source>
    <b:Tag>Smi99</b:Tag>
    <b:SourceType>JournalArticle</b:SourceType>
    <b:Guid>{99A2ED16-DE1D-400A-A474-EAE7D17339F2}</b:Guid>
    <b:Title>A model of customer satisfaction with service encounters involving failure and Recovery</b:Title>
    <b:JournalName>Journal of Marketing Research 36 (3)</b:JournalName>
    <b:Year>1999</b:Year>
    <b:Pages>356-372</b:Pages>
    <b:Author>
      <b:Author>
        <b:NameList>
          <b:Person>
            <b:Last>Smith</b:Last>
            <b:Middle>K</b:Middle>
            <b:First>A</b:First>
          </b:Person>
          <b:Person>
            <b:Last>Bolton</b:Last>
            <b:Middle>N</b:Middle>
            <b:First>R</b:First>
          </b:Person>
          <b:Person>
            <b:Last>Wagner</b:Last>
            <b:First>J</b:First>
          </b:Person>
        </b:NameList>
      </b:Author>
    </b:Author>
    <b:RefOrder>31</b:RefOrder>
  </b:Source>
</b:Sources>
</file>

<file path=customXml/itemProps1.xml><?xml version="1.0" encoding="utf-8"?>
<ds:datastoreItem xmlns:ds="http://schemas.openxmlformats.org/officeDocument/2006/customXml" ds:itemID="{4360539F-81E0-4D84-A76C-33D965BE6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5816</Words>
  <Characters>33154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2019-10-30T06:08:00Z</dcterms:created>
  <dcterms:modified xsi:type="dcterms:W3CDTF">2019-10-30T06:08:00Z</dcterms:modified>
</cp:coreProperties>
</file>